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372-6k_maase.htm"/>
      <w:bookmarkStart w:id="1" w:name="ksea03063726k_maas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Maase Inc. (the “Company”) entered into a securities purchase agreement (the “Securities Purchase Agreement”) with certain investor (the “Purchaser”) for a private placement offering of 3,878,856 Class A ordinary shares of the Company, par value US$0.09 per share (the “Placement Shares”), at the subscription price of US$12.89 per Placement Share, for gross proceeds of approximately US$50 million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exceptions set forth in the Securities Purchase Agreement, the Placement Shares will be subject to lock-up for a period of 36 months following the closing date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is expected to close in October 2026, subject to the satisfaction or waiver of the closing conditions set forth in the Securities Purchase Agreement. The Company intends to use the proceeds from the Private Placement to expand its Star Distributed Intelligent Computing Centers project, advance the research, development and commercialization of its proprietary Lingyanmiaoyu mixture-of-experts large language models, and fund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does not purport to describe all of the terms and conditions thereof and is qualified in its entirety by reference to the form of Securities Purchase Agreement, which is filed as Exhibit 10.1 hereto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issued a press release on September 23, 2026, which is filed as Exhibit 99.1 to this Current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333-277814) filed with the U.S. Securities and Exchange Commission (the “SEC”) on March 11, 2024,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333-298147) that was initially filed with the SEC on August 7, 2026 and declared effective by the SEC on 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637201ex10-1.htm">
              <w:r>
                <w:rPr>
                  <w:rStyle w:val="InternetLink"/>
                  <w:sz w:val="20"/>
                </w:rPr>
                <w:t>Form of Share Purchase Agreement dated September 23, 2026 between Maase Inc. and the Purchaser</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30637201ex99-1.htm">
              <w:r>
                <w:rPr>
                  <w:rStyle w:val="InternetLink"/>
                  <w:sz w:val="20"/>
                </w:rPr>
                <w:t>Press Release - Maase Inc. Announces $50 Million PIPE Financing to Accelerate Deployment of Star Distributed Intelligent Computing Centers and Commercialization of Lingyanmiaoyu Large Language Model</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2135"/>
        <w:gridCol w:w="320"/>
        <w:gridCol w:w="590"/>
        <w:gridCol w:w="2555"/>
      </w:tblGrid>
      <w:tr>
        <w:trPr/>
        <w:tc>
          <w:tcPr>
            <w:tcW w:w="2135" w:type="dxa"/>
            <w:tcBorders/>
            <w:vAlign w:val="center"/>
          </w:tcPr>
          <w:p>
            <w:pPr>
              <w:pStyle w:val="TableContents"/>
              <w:bidi w:val="0"/>
              <w:spacing w:before="0" w:after="283"/>
              <w:jc w:val="left"/>
              <w:rPr/>
            </w:pPr>
            <w:r>
              <w:rPr/>
              <w:t> </w:t>
            </w:r>
          </w:p>
        </w:tc>
        <w:tc>
          <w:tcPr>
            <w:tcW w:w="3465" w:type="dxa"/>
            <w:gridSpan w:val="3"/>
            <w:tcBorders/>
            <w:vAlign w:val="center"/>
          </w:tcPr>
          <w:p>
            <w:pPr>
              <w:pStyle w:val="TableContents"/>
              <w:bidi w:val="0"/>
              <w:spacing w:before="0" w:after="283"/>
              <w:jc w:val="both"/>
              <w:rPr>
                <w:b/>
                <w:sz w:val="20"/>
              </w:rPr>
            </w:pPr>
            <w:r>
              <w:rPr>
                <w:b/>
                <w:sz w:val="20"/>
              </w:rPr>
              <w:t>Maase Inc.</w:t>
            </w:r>
          </w:p>
        </w:tc>
      </w:tr>
      <w:tr>
        <w:trPr/>
        <w:tc>
          <w:tcPr>
            <w:tcW w:w="213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23, 2026</w:t>
            </w:r>
          </w:p>
        </w:tc>
        <w:tc>
          <w:tcPr>
            <w:tcW w:w="320" w:type="dxa"/>
            <w:tcBorders/>
            <w:vAlign w:val="center"/>
          </w:tcPr>
          <w:p>
            <w:pPr>
              <w:pStyle w:val="TableContents"/>
              <w:bidi w:val="0"/>
              <w:spacing w:before="0" w:after="283"/>
              <w:jc w:val="both"/>
              <w:rPr>
                <w:sz w:val="20"/>
              </w:rPr>
            </w:pPr>
            <w:r>
              <w:rPr>
                <w:sz w:val="20"/>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Zhou Min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2555" w:type="dxa"/>
            <w:tcBorders/>
            <w:vAlign w:val="center"/>
          </w:tcPr>
          <w:p>
            <w:pPr>
              <w:pStyle w:val="TableContents"/>
              <w:bidi w:val="0"/>
              <w:spacing w:before="0" w:after="283"/>
              <w:jc w:val="both"/>
              <w:rPr>
                <w:sz w:val="20"/>
              </w:rPr>
            </w:pPr>
            <w:r>
              <w:rPr>
                <w:sz w:val="20"/>
              </w:rPr>
              <w:t>Zhou Min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Title:</w:t>
            </w:r>
          </w:p>
        </w:tc>
        <w:tc>
          <w:tcPr>
            <w:tcW w:w="2555" w:type="dxa"/>
            <w:tcBorders/>
            <w:vAlign w:val="center"/>
          </w:tcPr>
          <w:p>
            <w:pPr>
              <w:pStyle w:val="TableContents"/>
              <w:bidi w:val="0"/>
              <w:spacing w:before="0" w:after="283"/>
              <w:jc w:val="left"/>
              <w:rPr>
                <w:sz w:val="20"/>
              </w:rPr>
            </w:pPr>
            <w:r>
              <w:rPr>
                <w:sz w:val="20"/>
              </w:rPr>
              <w:t>Vice-Chairperson of the Board,</w:t>
              <w:b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37201ex10-1.htm"/>
      <w:bookmarkStart w:id="3" w:name="ksea0306372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23, 2026 between Maase Inc.,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investor as listed in the Exhibit I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desires to issue and sell to the Purchaser, and the Purchaser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means the Class A ordinary shares of the Company, par value $0.09 per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means the Class B ordinary shares of the Company, par value $0.09 per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pursuant to Section 2.2(a), and all conditions precedent to (i) the Purchasers’ obligations to pay the Subscription Amount as to the Closing and (ii) the Company’s obligations to deliver the Securities as to the Closing, in each case, have been satisfied or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Shares</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Subscription Amount</w:t>
      </w:r>
      <w:r>
        <w:rPr>
          <w:rFonts w:ascii="Times New Roman;Times;Serif" w:hAnsi="Times New Roman;Times;Serif"/>
          <w:b w:val="false"/>
          <w:i w:val="false"/>
          <w:caps w:val="false"/>
          <w:smallCaps w:val="false"/>
          <w:sz w:val="20"/>
        </w:rPr>
        <w:t>” means $50,000,000, being an amount equal to Per Share Purchase Price multiplied by the Closing Shares, payable in United States dollars and in immediately available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material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Class A Ordinary Shares and Class B Ordinary Shares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 including, without limitation, any debt, preferred share,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is $12.89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2 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the location and/or reservation of borrowable Ordinary Shares).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the Closing Subscription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direct or indirect subsidiary of the Company formed or acquired.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the Nasdaq Global Market on which the Class A Ordinary Shares are listed or quoted for trading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any other documents or agreements executed by the Company and/or the Purchaser in connection with the transactions contemplated hereunder.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Transhare Corporation, the current transfer agent of the Company, with a mailing address of 17755 North US Highway 19 Suite 140 Clearwater, Fl 33764,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the Company agrees to sell, and the Purchaser agree to purchase an aggregate of 3,878,856 Class A Ordinary Shares (the “</w:t>
      </w:r>
      <w:r>
        <w:rPr>
          <w:rFonts w:ascii="Times New Roman;Times;Serif" w:hAnsi="Times New Roman;Times;Serif"/>
          <w:b w:val="false"/>
          <w:i w:val="false"/>
          <w:caps w:val="false"/>
          <w:smallCaps w:val="false"/>
          <w:sz w:val="20"/>
          <w:u w:val="single"/>
        </w:rPr>
        <w:t>Closing Shares</w:t>
      </w:r>
      <w:r>
        <w:rPr>
          <w:rFonts w:ascii="Times New Roman;Times;Serif" w:hAnsi="Times New Roman;Times;Serif"/>
          <w:b w:val="false"/>
          <w:i w:val="false"/>
          <w:caps w:val="false"/>
          <w:smallCaps w:val="false"/>
          <w:sz w:val="20"/>
        </w:rPr>
        <w:t>”). The Purchaser shall deliver to the Company, via wire transfer or a certified check, immediately available funds equal to the Closing Subscription Amount and the Company shall deliver to the Purchaser the Closing Shares on the Closing Date, and the Company and the Purchaser shall deliver the other items set forth in Section 2.2 deliverable at the Closing. Upon satisfaction of the covenants and conditions set forth in Sections 2.2 and 2.3, but no later than three Trading Days subsequent to the Closing date, the Closing shall occur at the location as the parties shall mutually agree or remotely by exchange of Closing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3 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Closing, the Company shall deliver or cause to be delivered to the Purchaser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Closing, a copy of the irrevocable instructions to the Transfer Agent instructing the Transfer Agent to deliver a certificate evidencing the Closing Shares, registered in the name of the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each Closing, the Purchaser shall deliver or cause to be delivered to the Company, as to the Closing, the Closing Subscription Amount, by wire transfer of immediately available funds to the account specified in writing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each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covenants and agreements of the Purchaser required to be performed at or prior to the applicable Closing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the Closing, the Company and the Purchaser shall have agreed on the use of proceeds from the transactions contemplated hereunder; and</w:t>
      </w:r>
    </w:p>
    <w:p>
      <w:pPr>
        <w:pStyle w:val="TextBody"/>
        <w:bidi w:val="0"/>
        <w:spacing w:before="0" w:after="0"/>
        <w:ind w:left="1520" w:right="0" w:firstLine="64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the Purchaser of the items set forth in Section 2.2(b) of this Agreement.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Purchaser hereunder in connection with each applicable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covenants and agreements of the Company required to be performed at or prior to the applicable Closing shall have been performed;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delivery by the Company of the items set forth in Section 2.2(a)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is listed as a public company on, and the Class A Ordinary Shares are tradable over the Nasdaq Capital Market;</w:t>
      </w:r>
    </w:p>
    <w:p>
      <w:pPr>
        <w:pStyle w:val="TextBody"/>
        <w:bidi w:val="0"/>
        <w:spacing w:before="0" w:after="0"/>
        <w:ind w:left="1520" w:right="0" w:firstLine="640"/>
        <w:jc w:val="both"/>
        <w:rPr>
          <w:caps w:val="false"/>
          <w:smallCaps w:val="false"/>
        </w:rPr>
      </w:pPr>
      <w:r>
        <w:rPr>
          <w:caps w:val="false"/>
          <w:smallCaps w:val="false"/>
        </w:rPr>
        <w:t> </w:t>
      </w:r>
    </w:p>
    <w:p>
      <w:pPr>
        <w:pStyle w:val="TextBody"/>
        <w:bidi w:val="0"/>
        <w:spacing w:before="0" w:after="0"/>
        <w:ind w:left="1520" w:right="0" w:firstLine="640"/>
        <w:jc w:val="center"/>
        <w:rPr>
          <w:bdr w:val="single" w:sz="12" w:space="1" w:color="000000"/>
        </w:rPr>
      </w:pPr>
      <w:r>
        <w:rPr>
          <w:bdr w:val="single" w:sz="12" w:space="1" w:color="000000"/>
        </w:rPr>
        <w:t>4 </w:t>
      </w:r>
    </w:p>
    <w:p>
      <w:pPr>
        <w:pStyle w:val="TextBody"/>
        <w:bidi w:val="0"/>
        <w:spacing w:before="0" w:after="0"/>
        <w:ind w:left="1520" w:right="0" w:firstLine="64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to the Closing, the Company and the Purchaser shall have agreed on the use of proceeds from the transactions contemplated hereunder; and</w:t>
      </w:r>
    </w:p>
    <w:p>
      <w:pPr>
        <w:pStyle w:val="TextBody"/>
        <w:bidi w:val="0"/>
        <w:spacing w:before="0" w:after="0"/>
        <w:ind w:left="1520" w:right="0" w:firstLine="64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date of the applicable Closing, trading in the Class A Ordinary Shares shall not have been suspended by the Commission or the Company’s principal Trading Market, and, on the date of the applicable Closing,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applicable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and the SEC Reports,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the Schedule 3.1(a). All of the share capital or other equity interests held by the Company, directly or indirectly, in each Subsidiary, are free and clear of any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or business,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5 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would not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application(s) to each applicable Trading Market for the additional listing of the Shares for trading thereon in the time and manner required thereby, and (iii)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6 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by the Transaction Documents. The Company has reserved from its duly authorized share capital the maximum number of Class A Ordinary Shares issuable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August 31, 2026, the Company has 442,175,578 shares issued and outstanding, including 435,553,720 Class A Ordinary Shares and 6,666,668 Class B Ordinary Shares. Since August 31, 2026, the Company has not issued any Ordinary Shares. No Person has any right of first refusal, preemptive right, right of participation, or any similar right to participate in the transactions contemplated by the Transaction Documents. All of the outstanding Ordinary Shares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Any approval or authorization of any shareholder, the Board of Directors or others that is required for the issuance and sale of the Securities has been obtained. There are no shareholders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7 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and Schedule 3.1(i),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share and (v) the Company has not issued any equity securities to any officer, director or Affiliate, except pursuant to existing Company share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and Schedule 3.1(j),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8 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properties is bound (whether or not such default or violation has been waived), (ii) is in violation of any judgment, decree or order of any court, arbitrator or other governmental authority, other than disclosed in the Schedule 3.1(l),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9 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other than set forth on the Schedule 3.1(o).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Securities by the Company to the Purchaser as contemplated hereby. The issuance and sale of the Securities hereunder does not contravene the rules and regulations of the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 and certain other “accredited investors” within the meaning of Rule 501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Class A Ordinary Shares are registered pursuant to Section 12(b) or 12(g) of the Exchange Act, and the Company has taken no action designed to, or which to its knowledge is likely to have the effect of, terminating the registration of the Class A Ordinary Shares under the Exchange Act nor has the Company received any notification that the Commission is contemplating terminating such registration. The Company is in compliance with all such listing and maintenance requirements. The Class A Ordinary Share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10 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All of the disclosures furnished by or on behalf of the Company to the Purchaser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current independent registered public accounting firm is Enrome LLP which replaced the Company’s previous independent registered public accounting firm Deloitte Touche Tohmatsu Certified Public Accountants LLP (“Deloitte”) . To the knowledge and belief of the Company, such accounting firms (i) are registered public accounting firm as required by the Exchange Act, and (ii) Deloitte has expressed its opinion with respect to the financial statements included in the Company’s Annual Report for the fiscal year ending June 30, 2024.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as of the date hereof and as of each Closing to the Company as follows (unless as of a specific date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the Purchaser of the transactions contemplated by this Agreement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center"/>
        <w:rPr>
          <w:bdr w:val="single" w:sz="12" w:space="1" w:color="000000"/>
        </w:rPr>
      </w:pPr>
      <w:r>
        <w:rPr>
          <w:bdr w:val="single" w:sz="12" w:space="1" w:color="000000"/>
        </w:rPr>
        <w:t>11 </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Purchaser’s right to sell the Securities pursuant to a registration statement or otherwise in compliance with applicable federal and state securities laws). The Purchaser is acquiring the Securities hereunder in the ordinary course of its business.</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the Purchaser was offered the Securities, it was, and as of the date hereof it is, either: (i) an “accredited investor” as defined in Rule 501(a)(1), (a)(2), (a)(3), (a)(7) or (a)(8) under the Securities Act or (ii) a “qualified institutional buyer” as defined in Rule 144A(a) under the Securities Act; or (iii) non-US residents, as permitted by Regulation S.</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the Purchaser</w:t>
      </w:r>
      <w:r>
        <w:rPr>
          <w:rFonts w:ascii="Times New Roman;Times;Serif" w:hAnsi="Times New Roman;Times;Serif"/>
          <w:b w:val="false"/>
          <w:i w:val="false"/>
          <w:caps w:val="false"/>
          <w:smallCaps w:val="false"/>
          <w:sz w:val="20"/>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The Purchaser is not, to its knowledge,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the Purchaser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the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12 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4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Acknowledgement of Risk</w:t>
      </w:r>
      <w:r>
        <w:rPr>
          <w:rFonts w:ascii="Times New Roman;Times;Serif" w:hAnsi="Times New Roman;Times;Serif"/>
          <w:b w:val="false"/>
          <w:i w:val="false"/>
          <w:caps w:val="false"/>
          <w:smallCaps w:val="false"/>
          <w:sz w:val="20"/>
        </w:rPr>
        <w:t>. The Purchaser acknowledges and understands that its investment in the Securities involves a significant degree of risk, including, without limitation that (i) an investment in the Company is speculative, and only Purchaser who can afford the loss of their entire investment should consider investing in the Company and the Securities and (ii) the Company has not paid any dividends on its Ordinary Shares since inception and does not anticipate the payment of dividends in the foreseeable future.</w:t>
      </w:r>
    </w:p>
    <w:p>
      <w:pPr>
        <w:pStyle w:val="TextBody"/>
        <w:bidi w:val="0"/>
        <w:spacing w:before="0" w:after="0"/>
        <w:ind w:left="4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xml:space="preserve">. The Securities may only be disposed of in compliance with state and federal securities laws. In connection with any transfer of Securities other than pursuant to an effective registration statement, Rule 144, to the Company, or to an Affiliate of the Purchaser,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the Purchaser under this Agreement.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13 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Until the time that the Purchaser does not own any Securities, the Company covenants to maintain the registration of the Class A Ordinary Share under Section 12(b) or 12(g) of the Exchange Act and to timely file (or obtain extensions in respect thereof and file within the applicable grace period) all reports required to be filed by the Company after the date hereof pursuant to the Exchange Act unless and until the Company is not then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its consummation.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9:00 a.m. (New York City time) within four Trading Days following the date hereof, issue a press release disclosing the material terms of the transactions contemplated hereby, and (b) file a Current Report on Form 6-K, including the Transaction Documents as exhibits thereto, with the Commission within the time required by the Exchange Act. From and after the issuance of such press release, the Company represents to the Purchaser that it shall have publicly disclosed all material, non-public information delivered to any of the Purchaser by the Company or any of its Subsidiaries, or any of their respective officers, directors, employees or agents in connection with the transactions contemplated by the Transaction Documents. The Company and the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in accordance with the schedule agreed to by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Reservation of Class A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a sufficient number of Class A Ordinary Shares for the purpose of enabling the Company to issue Closing Shares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Listing of Class A Ordinary Shares</w:t>
      </w:r>
      <w:r>
        <w:rPr>
          <w:rFonts w:ascii="Times New Roman;Times;Serif" w:hAnsi="Times New Roman;Times;Serif"/>
          <w:b w:val="false"/>
          <w:i w:val="false"/>
          <w:caps w:val="false"/>
          <w:smallCaps w:val="false"/>
          <w:sz w:val="20"/>
        </w:rPr>
        <w:t>. During the term of 5 years after the closing of this transaction, the Company hereby agrees to use commercially reasonable efforts to maintain the listing or quotation of the Class A Ordinary Shares on the Trading Market and will comply in all respects with the Company’s reporting, filing and other obligations under the bylaws or rules of the Trading Market. Concurrently with the Closing, the Company shall apply to list or quote all of the Closing Shares on such Trading Market and take all reasonable actions to secure the listing of all of the Closing Shares on such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The Purchaser covenants that until such time as the transactions contemplated by this Agreement are publicly disclosed by the Company pursuant to the initial press release as described in Section 4.4, the Purchaser will maintain the confidentiality of the existence and terms of this transaction. The Purchaser further covenants that it will maintain the confidentiality of the information included in the Disclosure Schedules of all time.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Blue Sky Filings</w:t>
      </w:r>
      <w:r>
        <w:rPr>
          <w:rFonts w:ascii="Times New Roman;Times;Serif" w:hAnsi="Times New Roman;Times;Serif"/>
          <w:b w:val="false"/>
          <w:i w:val="false"/>
          <w:caps w:val="false"/>
          <w:smallCaps w:val="false"/>
          <w:sz w:val="20"/>
        </w:rPr>
        <w:t>. The Company shall take such action as the Company shall reasonably determine is necessary in order to obtain an exemption for, or to qualify the Securities for, sale to the Purchaser at the Closing under applicable securities or “Blue Sky” laws of the states of the United States, and shall provide evidence of such actions promptly upon request of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Lock Up</w:t>
      </w:r>
      <w:r>
        <w:rPr>
          <w:rFonts w:ascii="Times New Roman;Times;Serif" w:hAnsi="Times New Roman;Times;Serif"/>
          <w:b w:val="false"/>
          <w:i w:val="false"/>
          <w:caps w:val="false"/>
          <w:smallCaps w:val="false"/>
          <w:sz w:val="20"/>
        </w:rPr>
        <w:t xml:space="preserve"> Except (i) with the prior written consent of the board of the Company; or (ii) transferring to the respective wholly-owned subsidiary (in which case such transferee shall be bound by the similar lock-up provisions as hereof), the Purchaser shall not directly or indirectly, transfer, sell, assign, pledge, or other disposal of any Closing Shares at any time on or before the expiry of a 36-month period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the Purchaser or by the Company by written notice to the other party, if the Closing has not been consummated on or before December 31, 2026;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Securities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as set forth on the signature pages attached hereto at or prior to 5:30 p.m. (New York City time) on a Trading Day, (b) the next Trading Day after the date of transmission, if such notice or communication is delivered via facsimile or email at the facsimile numbers or email addresses provided by parties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the prevailing party in such action, suit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17 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of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18 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545"/>
        <w:gridCol w:w="2855"/>
      </w:tblGrid>
      <w:tr>
        <w:trPr/>
        <w:tc>
          <w:tcPr>
            <w:tcW w:w="75"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Maase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5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 Zhou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Vice-Chairperson of the Board and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center"/>
        <w:rPr>
          <w:bdr w:val="single" w:sz="12" w:space="1" w:color="000000"/>
        </w:rPr>
      </w:pPr>
      <w:r>
        <w:rPr>
          <w:bdr w:val="single" w:sz="12" w:space="1" w:color="000000"/>
        </w:rPr>
        <w:t>19 </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75"/>
        <w:gridCol w:w="545"/>
        <w:gridCol w:w="740"/>
      </w:tblGrid>
      <w:tr>
        <w:trPr/>
        <w:tc>
          <w:tcPr>
            <w:tcW w:w="75" w:type="dxa"/>
            <w:tcBorders/>
            <w:vAlign w:val="center"/>
          </w:tcPr>
          <w:p>
            <w:pPr>
              <w:pStyle w:val="TableContents"/>
              <w:bidi w:val="0"/>
              <w:spacing w:before="0" w:after="283"/>
              <w:jc w:val="left"/>
              <w:rPr/>
            </w:pPr>
            <w:r>
              <w:rPr/>
              <w:t> </w:t>
            </w:r>
          </w:p>
        </w:tc>
        <w:tc>
          <w:tcPr>
            <w:tcW w:w="1285"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INVESTOR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4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4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14"/>
        <w:jc w:val="center"/>
        <w:rPr>
          <w:bdr w:val="single" w:sz="12" w:space="1" w:color="000000"/>
        </w:rPr>
      </w:pPr>
      <w:r>
        <w:rPr>
          <w:bdr w:val="single" w:sz="12" w:space="1" w:color="000000"/>
        </w:rPr>
        <w:t>20 </w:t>
      </w:r>
    </w:p>
    <w:p>
      <w:pPr>
        <w:pStyle w:val="TextBody"/>
        <w:bidi w:val="0"/>
        <w:spacing w:before="0" w:after="0"/>
        <w:ind w:left="0" w:right="0" w:firstLine="3614"/>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tbl>
      <w:tblPr>
        <w:tblW w:w="4784" w:type="dxa"/>
        <w:jc w:val="left"/>
        <w:tblInd w:w="0" w:type="dxa"/>
        <w:tblLayout w:type="fixed"/>
        <w:tblCellMar>
          <w:top w:w="0" w:type="dxa"/>
          <w:left w:w="0" w:type="dxa"/>
          <w:bottom w:w="28" w:type="dxa"/>
          <w:right w:w="0" w:type="dxa"/>
        </w:tblCellMar>
      </w:tblPr>
      <w:tblGrid>
        <w:gridCol w:w="1880"/>
        <w:gridCol w:w="60"/>
        <w:gridCol w:w="73"/>
        <w:gridCol w:w="1116"/>
        <w:gridCol w:w="60"/>
        <w:gridCol w:w="60"/>
        <w:gridCol w:w="97"/>
        <w:gridCol w:w="1363"/>
        <w:gridCol w:w="75"/>
      </w:tblGrid>
      <w:tr>
        <w:trPr/>
        <w:tc>
          <w:tcPr>
            <w:tcW w:w="1880" w:type="dxa"/>
            <w:tcBorders>
              <w:bottom w:val="single" w:sz="12" w:space="0" w:color="000000"/>
            </w:tcBorders>
            <w:vAlign w:val="center"/>
          </w:tcPr>
          <w:p>
            <w:pPr>
              <w:pStyle w:val="TableContents"/>
              <w:bidi w:val="0"/>
              <w:spacing w:before="0" w:after="283"/>
              <w:jc w:val="left"/>
              <w:rPr>
                <w:b/>
              </w:rPr>
            </w:pPr>
            <w:r>
              <w:rPr>
                <w:b/>
              </w:rPr>
              <w:t>Name of Investors</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Class A </w:t>
              <w:br/>
              <w:t xml:space="preserve">Shares to </w:t>
              <w:br/>
              <w:t>Purchase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Consideration</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CCEEFF" w:val="clear"/>
            <w:vAlign w:val="center"/>
          </w:tcPr>
          <w:p>
            <w:pPr>
              <w:pStyle w:val="TableContents"/>
              <w:bidi w:val="0"/>
              <w:spacing w:before="0" w:after="283"/>
              <w:jc w:val="left"/>
              <w:rPr/>
            </w:pPr>
            <w:r>
              <w:rPr/>
              <w:t> </w:t>
            </w:r>
          </w:p>
        </w:tc>
        <w:tc>
          <w:tcPr>
            <w:tcW w:w="1116"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63" w:type="dxa"/>
            <w:tcBorders>
              <w:bottom w:val="single" w:sz="1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double" w:sz="10" w:space="0" w:color="000000"/>
            </w:tcBorders>
            <w:shd w:fill="FFFFFF" w:val="clear"/>
            <w:vAlign w:val="center"/>
          </w:tcPr>
          <w:p>
            <w:pPr>
              <w:pStyle w:val="TableContents"/>
              <w:bidi w:val="0"/>
              <w:spacing w:before="0" w:after="283"/>
              <w:jc w:val="left"/>
              <w:rPr/>
            </w:pPr>
            <w:r>
              <w:rPr/>
              <w:t> </w:t>
            </w:r>
          </w:p>
        </w:tc>
        <w:tc>
          <w:tcPr>
            <w:tcW w:w="1116" w:type="dxa"/>
            <w:tcBorders>
              <w:bottom w:val="double" w:sz="10"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double" w:sz="10" w:space="0" w:color="000000"/>
            </w:tcBorders>
            <w:shd w:fill="FFFFFF" w:val="clear"/>
            <w:vAlign w:val="center"/>
          </w:tcPr>
          <w:p>
            <w:pPr>
              <w:pStyle w:val="TableContents"/>
              <w:bidi w:val="0"/>
              <w:spacing w:before="0" w:after="283"/>
              <w:jc w:val="left"/>
              <w:rPr/>
            </w:pPr>
            <w:r>
              <w:rPr/>
              <w:t> </w:t>
            </w:r>
          </w:p>
        </w:tc>
        <w:tc>
          <w:tcPr>
            <w:tcW w:w="1363" w:type="dxa"/>
            <w:tcBorders>
              <w:bottom w:val="double" w:sz="10"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637201ex99-1.htm"/>
      <w:bookmarkStart w:id="5" w:name="ksea0306372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Announces $50 Million PIPE Financing to Accelerate Deployment of Star Distributed Intelligent Computing Centers and Commercialization of Lingyanmiaoyu Large Language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QINGDAO, China, September 23, 2026 -- Maase Inc. (NASDAQ: MAAS) (“MAAS” or the “Company”), an artificial intelligence (“AI”)-centric full-scene digital systems provider and operator, today announced that it has entered into a securities purchase agreement (the “Agreement”) with certain investor. Pursuant to the Agreement, the Company intends to issue 3,878,856 Class A ordinary shares, par value $0.09 per share, in a private investment in public equity (“PIPE”) financing for expected gross proceeds of approximately $50.0 million. The PIPE financing is priced at US$12.89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in the PIPE financing, is a financial investment institution with a focus on AI infrastructure. Under the Agreement, the Class A ordinary shares to be issued to the investor in the PIPE financing will be subject to a 36-month lock-up. The closing of the PIPE financing remains subject to customary closing conditions and is expected to occur in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the US$50 million PIPE financing will be primarily allocated to the following two strategic priorities, with the remaining proceeds used as working capital for market expansion, recruitment of core R&amp;D talent, and delivery of the Company’s existing AI computing and enterprise AI solutions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Expansion of Star Distributed Intelligent Computing Centers:</w:t>
      </w:r>
      <w:r>
        <w:rPr>
          <w:rFonts w:ascii="Times New Roman;Times;Serif" w:hAnsi="Times New Roman;Times;Serif"/>
          <w:b w:val="false"/>
          <w:i w:val="false"/>
          <w:caps w:val="false"/>
          <w:smallCaps w:val="false"/>
          <w:sz w:val="20"/>
        </w:rPr>
        <w:t xml:space="preserve"> The proceeds are expected to be used for the procurement, deployment and technological iteration of containerized modular edge computing nodes, upgrades in unified computing capacity scheduling platform, and supporting green energy and energy storage integration projects. These investments are expected to support the fulfillment of the Company’s existing computing services contracts and enable it to serve additional enterprise AI computing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Research, Development and Commercialization of the Lingyanmiaoyu ( referred to as “Lingyan” ) Mixture-of-Experts (“MoE”) Large Language Model:</w:t>
      </w:r>
      <w:r>
        <w:rPr>
          <w:rFonts w:ascii="Times New Roman;Times;Serif" w:hAnsi="Times New Roman;Times;Serif"/>
          <w:b w:val="false"/>
          <w:i w:val="false"/>
          <w:caps w:val="false"/>
          <w:smallCaps w:val="false"/>
          <w:sz w:val="20"/>
        </w:rPr>
        <w:t xml:space="preserve"> The Company plans to invest in enhancing AI security and privacy-preserving computing capabilities; iterating enterprise private-deployment versions; continuously optimizing the consumer-facing access portal; and establishing datasets and an AI security laboratory to support the expansion of AI token services and customized large language model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Zhifeng Li, Chief Technology Officer of MAAS, commented, “MAAS is committed to building a differentiated, integrated AI + energy platform. This PIPE financing reflects the investor’s recognition of the Company’s strategic direction and business growth prospects. The proceeds will be used to accelerate the scaled deployment of Star distributed computing nodes, advance the research and development of the </w:t>
      </w:r>
      <w:r>
        <w:rPr>
          <w:rFonts w:ascii="Times New Roman;Times;Serif" w:hAnsi="Times New Roman;Times;Serif"/>
          <w:b/>
          <w:i w:val="false"/>
          <w:caps w:val="false"/>
          <w:smallCaps w:val="false"/>
          <w:sz w:val="20"/>
        </w:rPr>
        <w:t>Lingyan</w:t>
      </w:r>
      <w:r>
        <w:rPr>
          <w:rFonts w:ascii="Times New Roman;Times;Serif" w:hAnsi="Times New Roman;Times;Serif"/>
          <w:b w:val="false"/>
          <w:i w:val="false"/>
          <w:caps w:val="false"/>
          <w:smallCaps w:val="false"/>
          <w:sz w:val="20"/>
        </w:rPr>
        <w:t xml:space="preserve"> security-focused large language model, and support the continued delivery and fulfillment of existing enterprise customer projects. This PIPE financing continues the Company’s disciplined approach to capital allocation: maintaining prudent capital allocation and financing discipline while supporting business growth, introducing long-term capital aligned with the Company’s strategic vision, and supporting the next stage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Maase Inc. (NASDAQ: MAAS) is an integrated provider and operator of an artificial intelligence (“AI”)-centric full-scene digital systems. Our businesses focus on areas of flexible energy deployment and intelligent commercial network operation, and provide closed-loop solutions from computing infrastructure, smart hardware and full-scene services, aiming to achieve large-scale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 For more information, please visit: </w:t>
      </w:r>
      <w:r>
        <w:rPr>
          <w:rFonts w:ascii="Times New Roman;Times;Serif" w:hAnsi="Times New Roman;Times;Serif"/>
          <w:b w:val="false"/>
          <w:i/>
          <w:caps w:val="false"/>
          <w:smallCaps w:val="false"/>
          <w:sz w:val="20"/>
        </w:rPr>
        <w:t>https://ir.maaseai.com/.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announcement contains forward-looking statements within the meaning of the Private Securities Litigation Reform Act of 1995. These forward-looking statements can be identified by terminology such as “will,” “expects,” “anticipates,” “future,” “intends,” “plans,” “believes,” “estimates,” and similar statements. Among other things, statements regarding the Company’s strategies, business plans, future business development and prospects are forward-looking statements. Such statements are subject to risks and uncertainties that could cause actual results to differ materially from those expressed or implied by such statements, including, but not limited to, the closing conditions under the Agreement will be satisfied or waived; whether and when the PIPE financing will be consummated; whether the Company will receive the anticipated proceeds from the PIPE financing; and whether the use of such proceeds will achieve the Company’s anticipated objectives and benefits; the Company’s goals and strategies; its future business development; the demand for and acceptance of its products and services; technological changes; the economic environment; its reputation and brand; the effects of competition and pricing; governmental regulation; and general economic and business conditions in the domestic and international markets in which the Company operates, as well as assumptions underlying or related to any of the foregoing risks and other risks disclosed in the Company’s filings with the U.S. Securities and Exchange Commission (“SEC”). Investors should not place undue reliance on these forward-looking statements. All information provided in this press release is as of the date of this press release, and the Company does not undertake any obligation to update any forward-looking statement, except as required under applicable law. Further information regarding these and other risks is included in the Company’s filings with the SEC, which are available for review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+86-532-66030885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ir@maaseai.com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https://ir.maaseai.com/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0264/000121390024021240/ea0201111-s8_puyiinc.htm" TargetMode="External"/><Relationship Id="rId3" Type="http://schemas.openxmlformats.org/officeDocument/2006/relationships/hyperlink" Target="http://www.sec.gov/Archives/edgar/data/1750264/000121390026086771/ea0300899-f3_maas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10413</Words>
  <Characters>56257</Characters>
  <CharactersWithSpaces>66754</CharactersWithSpaces>
  <Paragraphs>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