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488-6k_maase.htm"/>
      <w:bookmarkStart w:id="1" w:name="ksea03004886k_maas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Laixi, Qingdao, Shandong Province,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+86-532-66030885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 Regarding Acquisitions, Disposal and Deconsolidation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Maase Inc. (the “Company”) completed a series of acquisitions, disposal and deconsolidation, which consist of (i) the acquisition of Real Prospect Limited and its subsidiaries, (ii) the acquisition of Carve Group Ltd and its subsidiaries,(iii) the disposal of 100% of the equity interests in Puyi Group Limited and its subsidiaries, (iv) the deconsolidation of AIFU Inc. and its subsidiaries, and (v) acquisition of Time Good Limited and its directly or contractually controlled subsidiaries (collectively,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filing this Current Report on Form 6-K (this “Form 6-K”) to provide the unaudited pro forma condensed combined financial information as of December 31, 2025 and for the six months ended December 31, 2025 and the years ended June 30, 2025, 2024, and 2023, giving effect to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333-277814) filed with the U.S. Securities and Exchange Commission on March 11,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048801ex99-1.htm">
              <w:r>
                <w:rPr>
                  <w:rStyle w:val="InternetLink"/>
                  <w:rFonts w:ascii="Times New Roman;Times;Serif" w:hAnsi="Times New Roman;Times;Serif"/>
                  <w:sz w:val="20"/>
                </w:rPr>
                <w:t>Unaudited pro forma condensed combined financial statements as of December 31, 2025 and for the six months ended December 31, 2025 and the years ended June 30, 2025, 2024, and 2023, giving effect to the Transactions</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270" w:type="dxa"/>
        <w:jc w:val="left"/>
        <w:tblInd w:w="0" w:type="dxa"/>
        <w:tblLayout w:type="fixed"/>
        <w:tblCellMar>
          <w:top w:w="0" w:type="dxa"/>
          <w:left w:w="0" w:type="dxa"/>
          <w:bottom w:w="0" w:type="dxa"/>
          <w:right w:w="0" w:type="dxa"/>
        </w:tblCellMar>
      </w:tblPr>
      <w:tblGrid>
        <w:gridCol w:w="1760"/>
        <w:gridCol w:w="320"/>
        <w:gridCol w:w="635"/>
        <w:gridCol w:w="2555"/>
      </w:tblGrid>
      <w:tr>
        <w:trPr/>
        <w:tc>
          <w:tcPr>
            <w:tcW w:w="1760"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Maase Inc.</w:t>
            </w:r>
          </w:p>
        </w:tc>
      </w:tr>
      <w:tr>
        <w:trPr/>
        <w:tc>
          <w:tcPr>
            <w:tcW w:w="17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319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5, 2026</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1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Zhou Min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Zhou Min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Vice-Chairperson of the Board,</w:t>
              <w:b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30048801ex99-1.htm"/>
      <w:bookmarkStart w:id="3" w:name="ksea030048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18, 2025, Maase Inc. (NASDAQ: MAAS) (the “Company” or “MAAS”, and together with its subsidiaries, the “MAAS Group”) entered into a transaction agreement to acquire 100% of the equity interest of Real Prospect Limited (the “Real Prospect”), for a consideration of a total of 98,002,174 Class A ordinary shares of a par value of US$0.09 each of MAAS, at a purchase price of US$1.5 per share. MAAS completed the acquisition of Real Prospect on October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2025, MAAS entered into a transaction agreement to acquire 100% of the equity interest of Carve Group Ltd and its subsidiaries (collectively, the “Carve Group”), for a consideration of a total of 195,894,609 Class A ordinary shares of a par value of US$0.09 each of MAAS, at a purchase price of US$1.5 per share. MAAS completed the acquisition of Carve Group on August 27,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MAAS entered into an agreement with a third party to dispose of 100% equity interests in Puyi Group Limited, together with all equity interests in subsidiaries directly or contractually controlled by Puyi Group (collectively, the “Puyi Group”), for a total cash consideration of RMB70 million. The Puyi Group historically constituted the MAAS Group’s wealth management segment, over which the MAAS Group exercised control through equity ownership or contractual agreement. The MAAS Group determined that the sale of Puyi Group represents a strategic shift that will have a major effect on the MAAS Group’s operations and financial results. Accordingly, the MAAS Group accounted for the sale of the Puyi Group as discontinued operations in the unaudited condensed consolidated financial statements of MAAS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AIFU Inc. completed the issuance of its 5,000,000 class B ordinary shares to a third party. Following this issuance, MAAS’ aggregate beneficial ownership of the total outstanding shares of AIFU Inc. was diluted to approximately 7.85%, and its aggregate voting power was diluted to approximately 16.75%. As a result of the AIFU reorganization, the MAAS Group no longer holds the controlling financial interest in AIFU Inc. and its subsidiaries (collectively, the “AIFU Group”). Accordingly, the AIFU Group was deconsolidated from the Group as of December 31, 2025 and the MAAS Group no longer conducts any material operations in the insurance agency business. Subsequent to the deconsolidation, the MAAS Group accounted for its equity ownership interest in AIFU at fair value through profit or loss. The deconsolidation of AIFU Group meets the discontinued operation criteria as it represented a strategic shift that has a major effect on the MAAS Group’s financial results. Accordingly, the MAAS Group accounted for the deconsolidation of AIFU Group as discontinued operations beginning in the unaudited condensed consolidated financial statements of MAAS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2026, MAAS entered into a transaction agreement to acquire 100% of the equity interests in Times Good Limited and its directly or contractually controlled subsidiaries (collectively, the “Times Good”) for a consideration of approximately RMB1.1 billion, consisting of (i) an aggregate 87,400,144 Class A ordinary shares of a par value of US$0.09 each of MAAS, at a purchase price of US$1.5 per share, and (ii) a cash payment of US$26 million. MAAS completed the acquisition of Times Good on March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above acquisitions, disposal and deconsolidation collectively, as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and related notes have been derived from historical consolidated financial statements, and were prepared based on the most reliable information available to management, along with their estimates, and in accordance with Article 11 of Regulation S-X. The unaudited pro forma combined financial information is for informational and illustrative purposes only and is not intended to be indicative of what actual results would have been had the Transactions occurred on the dates assumed, nor does such data purport to represent the consolidated financial results of the Company for future periods. The actual financial position and results of operations may differ significantly from the unaudited pro forma amounts reflected herein due to a variety of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reflects adjustments that, in the opinion of management, are necessary to present fairly pro forma financial position as of December 31, 2025 and results of operations for the six months ended December 31, 2025 and years ended June 30,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financial information is based on historical financial statements of the Group as adjusted for the unaudited pro forma effects of the Transaction. There were no significant accounting policy differences or other items which required adjustment in the accompanying unaudited pro forma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developed from and should be read in conjunction with:</w:t>
      </w:r>
    </w:p>
    <w:p>
      <w:pPr>
        <w:pStyle w:val="TextBody"/>
        <w:bidi w:val="0"/>
        <w:spacing w:before="0" w:after="0"/>
        <w:ind w:left="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accompanying notes to the unaudited pro forma condensed combined financial statements;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unaudited condensed consolidated financial statements and related notes of MAAS for the six months ended December 31, 2025 that were included in MAAS’ Current Report on Form 6-K furnished with the U.S. Securities and Exchange Commission (the “SEC”) on June 23,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consolidated financial statements and related notes of MAAS as of June 30, 2024 and 2025 and for the years ended June 30, 2023, 2024 and 2025 that were included in the Annual Report on Form 20-F for the year ended June 30, 2025 filed with SEC on October 29,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combined financial statements and related notes of Carve Group and its subsidiaries as of June 30, 2024 and 2025 and for the years ended June 30, 2024 and 2025 that were included in MAAS’ Current Report on Form 6-K furnished with the SEC on February 13, 2026;</w:t>
            </w:r>
          </w:p>
        </w:tc>
      </w:tr>
    </w:tbl>
    <w:p>
      <w:pPr>
        <w:pStyle w:val="TextBody"/>
        <w:bidi w:val="0"/>
        <w:spacing w:before="0" w:after="0"/>
        <w:ind w:left="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combined financial statements and related notes of Real Prospect and its subsidiaries as of June 30, 2025 and for the year ended June 30, 2025 that were included in MAAS’ Current Report on Form 6-K furnished with the SEC on February 13, 2026; and</w:t>
            </w:r>
          </w:p>
        </w:tc>
      </w:tr>
    </w:tbl>
    <w:p>
      <w:pPr>
        <w:pStyle w:val="TextBody"/>
        <w:bidi w:val="0"/>
        <w:spacing w:before="0" w:after="0"/>
        <w:ind w:left="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historical audited combined financial statements of Times Good and its subsidiaries as of June 30, 2025 and for the year ended June 30, 2025 that were included in MAAS’ Current Report on Form 6-K furnished with the SEC on June 12,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br/>
      </w: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1"/>
        <w:gridCol w:w="60"/>
        <w:gridCol w:w="106"/>
        <w:gridCol w:w="1761"/>
        <w:gridCol w:w="60"/>
        <w:gridCol w:w="60"/>
        <w:gridCol w:w="80"/>
        <w:gridCol w:w="1079"/>
        <w:gridCol w:w="60"/>
        <w:gridCol w:w="60"/>
        <w:gridCol w:w="147"/>
        <w:gridCol w:w="2427"/>
        <w:gridCol w:w="60"/>
        <w:gridCol w:w="60"/>
        <w:gridCol w:w="500"/>
        <w:gridCol w:w="60"/>
        <w:gridCol w:w="70"/>
        <w:gridCol w:w="1165"/>
        <w:gridCol w:w="79"/>
      </w:tblGrid>
      <w:tr>
        <w:trPr/>
        <w:tc>
          <w:tcPr>
            <w:tcW w:w="2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MAAS Group (Historical)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Times Good</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Proforma</w:t>
              <w:br/>
              <w:t xml:space="preserve">As of </w:t>
              <w:br/>
              <w:t>December 31,</w:t>
              <w:br/>
              <w:t>2025</w:t>
            </w:r>
          </w:p>
        </w:tc>
        <w:tc>
          <w:tcPr>
            <w:tcW w:w="79"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RMB</w:t>
            </w:r>
          </w:p>
        </w:tc>
        <w:tc>
          <w:tcPr>
            <w:tcW w:w="79"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b/>
                <w:i/>
              </w:rPr>
            </w:pPr>
            <w:r>
              <w:rPr>
                <w:b/>
                <w:i/>
              </w:rPr>
              <w:t>Current assets:</w:t>
            </w:r>
          </w:p>
        </w:tc>
        <w:tc>
          <w:tcPr>
            <w:tcW w:w="60" w:type="dxa"/>
            <w:tcBorders/>
            <w:vAlign w:val="center"/>
          </w:tcPr>
          <w:p>
            <w:pPr>
              <w:pStyle w:val="TableContents"/>
              <w:bidi w:val="0"/>
              <w:spacing w:before="0" w:after="283"/>
              <w:jc w:val="left"/>
              <w:rPr/>
            </w:pPr>
            <w:r>
              <w:rPr/>
              <w:t> </w:t>
            </w:r>
          </w:p>
        </w:tc>
        <w:tc>
          <w:tcPr>
            <w:tcW w:w="186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1,539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22,877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24,416</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8,420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8,420</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pPr>
            <w:r>
              <w:rPr/>
              <w:t>Short term investments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818</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9,953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10,010</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1,979,937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21,098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2,001,035</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Other receivables, net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231,277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33,285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264,562</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3,904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14,594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18,498</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33,677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11,479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45,156</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2,251,209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2,372,915</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b/>
                <w:i/>
              </w:rPr>
            </w:pPr>
            <w:r>
              <w:rPr>
                <w:b/>
                <w:i/>
              </w:rPr>
              <w:t>Non-current assets: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16,982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1,085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18,067</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77,715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(A)103,577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181,292</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Goodwill, net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992,839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(A)1,131,194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(A)</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2,124,033</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pPr>
            <w:r>
              <w:rPr/>
              <w:t>Investments in affiliates</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761" w:type="dxa"/>
            <w:tcBorders/>
            <w:shd w:fill="CCEEFF" w:val="clear"/>
            <w:vAlign w:val="center"/>
          </w:tcPr>
          <w:p>
            <w:pPr>
              <w:pStyle w:val="TableContents"/>
              <w:bidi w:val="0"/>
              <w:spacing w:before="0" w:after="283"/>
              <w:jc w:val="right"/>
              <w:rPr/>
            </w:pPr>
            <w:r>
              <w:rPr/>
              <w:t>113,262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242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113,262</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pPr>
            <w:r>
              <w:rPr/>
              <w:t>Right of use assets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761" w:type="dxa"/>
            <w:tcBorders/>
            <w:shd w:fill="FFFFFF" w:val="clear"/>
            <w:vAlign w:val="center"/>
          </w:tcPr>
          <w:p>
            <w:pPr>
              <w:pStyle w:val="TableContents"/>
              <w:bidi w:val="0"/>
              <w:spacing w:before="0" w:after="283"/>
              <w:jc w:val="right"/>
              <w:rPr/>
            </w:pPr>
            <w:r>
              <w:rPr/>
              <w:t>1,800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1,099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42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2,899</w:t>
            </w:r>
          </w:p>
        </w:tc>
        <w:tc>
          <w:tcPr>
            <w:tcW w:w="79" w:type="dxa"/>
            <w:tcBorders/>
            <w:shd w:fill="FFFFFF" w:val="clear"/>
            <w:vAlign w:val="center"/>
          </w:tcPr>
          <w:p>
            <w:pPr>
              <w:pStyle w:val="TableContents"/>
              <w:bidi w:val="0"/>
              <w:spacing w:before="0" w:after="283"/>
              <w:jc w:val="left"/>
              <w:rPr/>
            </w:pPr>
            <w:r>
              <w:rPr/>
              <w:t> </w:t>
            </w:r>
          </w:p>
        </w:tc>
      </w:tr>
      <w:tr>
        <w:trPr/>
        <w:tc>
          <w:tcPr>
            <w:tcW w:w="2311"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1,202,598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4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1,234,771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2,439,553</w:t>
            </w:r>
          </w:p>
        </w:tc>
        <w:tc>
          <w:tcPr>
            <w:tcW w:w="79" w:type="dxa"/>
            <w:tcBorders/>
            <w:shd w:fill="CCEEFF"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76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3,453,807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123,890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4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1,234,771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4,812,468</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(continued)</w:t>
        <w:br/>
      </w: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1"/>
        <w:gridCol w:w="60"/>
        <w:gridCol w:w="83"/>
        <w:gridCol w:w="961"/>
        <w:gridCol w:w="60"/>
        <w:gridCol w:w="60"/>
        <w:gridCol w:w="68"/>
        <w:gridCol w:w="921"/>
        <w:gridCol w:w="60"/>
        <w:gridCol w:w="60"/>
        <w:gridCol w:w="171"/>
        <w:gridCol w:w="2299"/>
        <w:gridCol w:w="60"/>
        <w:gridCol w:w="60"/>
        <w:gridCol w:w="562"/>
        <w:gridCol w:w="60"/>
        <w:gridCol w:w="84"/>
        <w:gridCol w:w="1136"/>
        <w:gridCol w:w="79"/>
      </w:tblGrid>
      <w:tr>
        <w:trPr/>
        <w:tc>
          <w:tcPr>
            <w:tcW w:w="3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 Group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Times Good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Proforma</w:t>
              <w:br/>
              <w:t xml:space="preserve">As of </w:t>
              <w:br/>
              <w:t>December 31,</w:t>
              <w:br/>
              <w:t>2025</w:t>
            </w:r>
          </w:p>
        </w:tc>
        <w:tc>
          <w:tcPr>
            <w:tcW w:w="79" w:type="dxa"/>
            <w:tcBorders/>
            <w:vAlign w:val="center"/>
          </w:tcPr>
          <w:p>
            <w:pPr>
              <w:pStyle w:val="TableContents"/>
              <w:bidi w:val="0"/>
              <w:spacing w:before="0" w:after="283"/>
              <w:jc w:val="left"/>
              <w:rPr/>
            </w:pPr>
            <w:r>
              <w:rPr/>
              <w:t> </w:t>
            </w:r>
          </w:p>
        </w:tc>
      </w:tr>
      <w:tr>
        <w:trPr/>
        <w:tc>
          <w:tcPr>
            <w:tcW w:w="33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RMB</w:t>
            </w:r>
          </w:p>
        </w:tc>
        <w:tc>
          <w:tcPr>
            <w:tcW w:w="79" w:type="dxa"/>
            <w:tcBorders/>
            <w:vAlign w:val="center"/>
          </w:tcPr>
          <w:p>
            <w:pPr>
              <w:pStyle w:val="TableContents"/>
              <w:bidi w:val="0"/>
              <w:spacing w:before="0" w:after="283"/>
              <w:jc w:val="left"/>
              <w:rPr/>
            </w:pPr>
            <w:r>
              <w:rPr/>
              <w:t> </w:t>
            </w:r>
          </w:p>
        </w:tc>
      </w:tr>
      <w:tr>
        <w:trPr/>
        <w:tc>
          <w:tcPr>
            <w:tcW w:w="33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ind w:left="0" w:right="0" w:hanging="180"/>
              <w:jc w:val="left"/>
              <w:rPr/>
            </w:pPr>
            <w:r>
              <w:rPr/>
              <w:t> </w:t>
            </w:r>
          </w:p>
        </w:tc>
      </w:tr>
      <w:tr>
        <w:trPr/>
        <w:tc>
          <w:tcPr>
            <w:tcW w:w="3361" w:type="dxa"/>
            <w:tcBorders/>
            <w:vAlign w:val="center"/>
          </w:tcPr>
          <w:p>
            <w:pPr>
              <w:pStyle w:val="TableContents"/>
              <w:bidi w:val="0"/>
              <w:spacing w:before="0" w:after="283"/>
              <w:jc w:val="left"/>
              <w:rPr/>
            </w:pPr>
            <w:r>
              <w:rPr/>
              <w:t>LIABILITIES, MEZZANINE EQUITY AND EQUITY:</w:t>
            </w:r>
          </w:p>
        </w:tc>
        <w:tc>
          <w:tcPr>
            <w:tcW w:w="6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3361" w:type="dxa"/>
            <w:tcBorders/>
            <w:vAlign w:val="center"/>
          </w:tcPr>
          <w:p>
            <w:pPr>
              <w:pStyle w:val="TableContents"/>
              <w:bidi w:val="0"/>
              <w:spacing w:before="0" w:after="283"/>
              <w:jc w:val="left"/>
              <w:rPr>
                <w:b/>
                <w:i/>
              </w:rPr>
            </w:pPr>
            <w:r>
              <w:rPr>
                <w:b/>
                <w:i/>
              </w:rPr>
              <w:t>Current liabilities:</w:t>
            </w:r>
          </w:p>
        </w:tc>
        <w:tc>
          <w:tcPr>
            <w:tcW w:w="6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Short-term loan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184,607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2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184,607</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9,596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2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10,278</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7,391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13,820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2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21,211</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Other payables and accrued expenses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12,721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47,402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299"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(B)179,709</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t>(B)(E)</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240,581</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Accrued payroll</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2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1,588</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19,375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2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19,423</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2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987</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572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487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29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1,059</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Long-Term Loan, Current Portion</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center"/>
          </w:tcPr>
          <w:p>
            <w:pPr>
              <w:pStyle w:val="TableContents"/>
              <w:bidi w:val="0"/>
              <w:spacing w:before="0" w:after="283"/>
              <w:jc w:val="right"/>
              <w:rPr/>
            </w:pPr>
            <w:r>
              <w:rPr/>
              <w:t>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2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CCEEFF" w:val="clear"/>
            <w:tcMar>
              <w:bottom w:w="28" w:type="dxa"/>
            </w:tcMar>
            <w:vAlign w:val="center"/>
          </w:tcPr>
          <w:p>
            <w:pPr>
              <w:pStyle w:val="TableContents"/>
              <w:bidi w:val="0"/>
              <w:spacing w:before="0" w:after="283"/>
              <w:jc w:val="right"/>
              <w:rPr/>
            </w:pPr>
            <w:r>
              <w:rPr/>
              <w:t>808</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257,664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180,458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480,542</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2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b/>
                <w:i/>
              </w:rPr>
            </w:pPr>
            <w:r>
              <w:rPr>
                <w:b/>
                <w:i/>
              </w:rPr>
              <w:t>Non-current liabilities: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2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Long-term loan</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4,950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2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6,110</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16,234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2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(A)15,537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center"/>
              <w:rPr/>
            </w:pPr>
            <w:r>
              <w:rPr/>
              <w:t>(A)</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31,771</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pPr>
            <w:r>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1,334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29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1,883</w:t>
            </w:r>
          </w:p>
        </w:tc>
        <w:tc>
          <w:tcPr>
            <w:tcW w:w="79" w:type="dxa"/>
            <w:tcBorders/>
            <w:shd w:fill="CCEEFF"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29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39,764</w:t>
            </w:r>
          </w:p>
        </w:tc>
        <w:tc>
          <w:tcPr>
            <w:tcW w:w="79" w:type="dxa"/>
            <w:tcBorders/>
            <w:shd w:fill="FFFFFF" w:val="clear"/>
            <w:vAlign w:val="center"/>
          </w:tcPr>
          <w:p>
            <w:pPr>
              <w:pStyle w:val="TableContents"/>
              <w:bidi w:val="0"/>
              <w:spacing w:before="0" w:after="283"/>
              <w:jc w:val="left"/>
              <w:rPr/>
            </w:pPr>
            <w:r>
              <w:rPr/>
              <w:t> </w:t>
            </w:r>
          </w:p>
        </w:tc>
      </w:tr>
      <w:tr>
        <w:trPr/>
        <w:tc>
          <w:tcPr>
            <w:tcW w:w="3361"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263,163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29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520,306</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Balance Sheets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December 31, 2025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(continued)</w:t>
        <w:br/>
      </w: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26"/>
        <w:gridCol w:w="60"/>
        <w:gridCol w:w="61"/>
        <w:gridCol w:w="1076"/>
        <w:gridCol w:w="95"/>
        <w:gridCol w:w="60"/>
        <w:gridCol w:w="73"/>
        <w:gridCol w:w="1086"/>
        <w:gridCol w:w="95"/>
        <w:gridCol w:w="60"/>
        <w:gridCol w:w="129"/>
        <w:gridCol w:w="2129"/>
        <w:gridCol w:w="60"/>
        <w:gridCol w:w="60"/>
        <w:gridCol w:w="556"/>
        <w:gridCol w:w="60"/>
        <w:gridCol w:w="66"/>
        <w:gridCol w:w="1161"/>
        <w:gridCol w:w="92"/>
      </w:tblGrid>
      <w:tr>
        <w:trPr/>
        <w:tc>
          <w:tcPr>
            <w:tcW w:w="322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 Group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Times Good </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6"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Proforma </w:t>
              <w:br/>
              <w:t>As of</w:t>
              <w:br/>
              <w:t>December 31,</w:t>
              <w:br/>
              <w:t>2025</w:t>
            </w:r>
          </w:p>
        </w:tc>
        <w:tc>
          <w:tcPr>
            <w:tcW w:w="92" w:type="dxa"/>
            <w:tcBorders/>
            <w:vAlign w:val="center"/>
          </w:tcPr>
          <w:p>
            <w:pPr>
              <w:pStyle w:val="TableContents"/>
              <w:bidi w:val="0"/>
              <w:spacing w:before="0" w:after="283"/>
              <w:ind w:left="0" w:right="0" w:hanging="180"/>
              <w:jc w:val="left"/>
              <w:rPr/>
            </w:pPr>
            <w:r>
              <w:rPr/>
              <w:t> </w:t>
            </w:r>
          </w:p>
        </w:tc>
      </w:tr>
      <w:tr>
        <w:trPr/>
        <w:tc>
          <w:tcPr>
            <w:tcW w:w="32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8"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center"/>
              <w:rPr>
                <w:b/>
              </w:rPr>
            </w:pPr>
            <w:r>
              <w:rPr>
                <w:b/>
              </w:rPr>
              <w:t>RMB</w:t>
            </w:r>
          </w:p>
        </w:tc>
        <w:tc>
          <w:tcPr>
            <w:tcW w:w="92" w:type="dxa"/>
            <w:tcBorders/>
            <w:vAlign w:val="center"/>
          </w:tcPr>
          <w:p>
            <w:pPr>
              <w:pStyle w:val="TableContents"/>
              <w:bidi w:val="0"/>
              <w:spacing w:before="0" w:after="283"/>
              <w:ind w:left="0" w:right="0" w:hanging="180"/>
              <w:jc w:val="left"/>
              <w:rPr/>
            </w:pPr>
            <w:r>
              <w:rPr/>
              <w:t> </w:t>
            </w:r>
          </w:p>
        </w:tc>
      </w:tr>
      <w:tr>
        <w:trPr/>
        <w:tc>
          <w:tcPr>
            <w:tcW w:w="32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180"/>
              <w:jc w:val="left"/>
              <w:rPr/>
            </w:pPr>
            <w:r>
              <w:rPr/>
              <w:t> </w:t>
            </w:r>
          </w:p>
        </w:tc>
      </w:tr>
      <w:tr>
        <w:trPr/>
        <w:tc>
          <w:tcPr>
            <w:tcW w:w="3226" w:type="dxa"/>
            <w:tcBorders/>
            <w:vAlign w:val="center"/>
          </w:tcPr>
          <w:p>
            <w:pPr>
              <w:pStyle w:val="TableContents"/>
              <w:bidi w:val="0"/>
              <w:spacing w:before="0" w:after="283"/>
              <w:jc w:val="left"/>
              <w:rPr>
                <w:b/>
              </w:rPr>
            </w:pPr>
            <w:r>
              <w:rPr>
                <w:b/>
              </w:rPr>
              <w:t>Commitments and contingencies</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8"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180"/>
              <w:jc w:val="left"/>
              <w:rPr/>
            </w:pPr>
            <w:r>
              <w:rPr/>
              <w:t> </w:t>
            </w:r>
          </w:p>
        </w:tc>
      </w:tr>
      <w:tr>
        <w:trPr/>
        <w:tc>
          <w:tcPr>
            <w:tcW w:w="3226" w:type="dxa"/>
            <w:tcBorders/>
            <w:vAlign w:val="center"/>
          </w:tcPr>
          <w:p>
            <w:pPr>
              <w:pStyle w:val="TableContents"/>
              <w:bidi w:val="0"/>
              <w:spacing w:before="0" w:after="283"/>
              <w:jc w:val="left"/>
              <w:rPr>
                <w:b/>
              </w:rPr>
            </w:pPr>
            <w:r>
              <w:rPr>
                <w:b/>
              </w:rPr>
              <w:t>Mezzanine equity:</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180"/>
              <w:jc w:val="left"/>
              <w:rPr/>
            </w:pPr>
            <w:r>
              <w:rPr/>
              <w:t> </w:t>
            </w:r>
          </w:p>
        </w:tc>
      </w:tr>
      <w:tr>
        <w:trPr/>
        <w:tc>
          <w:tcPr>
            <w:tcW w:w="3226" w:type="dxa"/>
            <w:tcBorders/>
            <w:shd w:fill="CCEEFF" w:val="clear"/>
            <w:vAlign w:val="center"/>
          </w:tcPr>
          <w:p>
            <w:pPr>
              <w:pStyle w:val="TableContents"/>
              <w:bidi w:val="0"/>
              <w:spacing w:before="0" w:after="283"/>
              <w:jc w:val="left"/>
              <w:rPr/>
            </w:pPr>
            <w:r>
              <w:rPr/>
              <w:t>Redeemable ordinary shares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49,039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49,039</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226" w:type="dxa"/>
            <w:tcBorders/>
            <w:shd w:fill="FFFFFF" w:val="clear"/>
            <w:vAlign w:val="center"/>
          </w:tcPr>
          <w:p>
            <w:pPr>
              <w:pStyle w:val="TableContents"/>
              <w:bidi w:val="0"/>
              <w:spacing w:before="0" w:after="283"/>
              <w:jc w:val="left"/>
              <w:rPr>
                <w:b/>
                <w:i/>
              </w:rPr>
            </w:pPr>
            <w:r>
              <w:rPr>
                <w:b/>
                <w:i/>
              </w:rPr>
              <w:t>Shareholders’ Equity:</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12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r>
      <w:tr>
        <w:trPr/>
        <w:tc>
          <w:tcPr>
            <w:tcW w:w="3226" w:type="dxa"/>
            <w:tcBorders/>
            <w:shd w:fill="CCEEFF" w:val="clear"/>
            <w:vAlign w:val="center"/>
          </w:tcPr>
          <w:p>
            <w:pPr>
              <w:pStyle w:val="TableContents"/>
              <w:bidi w:val="0"/>
              <w:spacing w:before="0" w:after="283"/>
              <w:jc w:val="left"/>
              <w:rPr/>
            </w:pPr>
            <w:r>
              <w:rPr/>
              <w:t xml:space="preserve">Class A ordinary shares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201,199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11,374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29"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(B)54,369</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(C)(11,374)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center"/>
              <w:rPr/>
            </w:pPr>
            <w:r>
              <w:rPr/>
              <w:t>(B)(C)</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255,568</w:t>
            </w:r>
          </w:p>
        </w:tc>
        <w:tc>
          <w:tcPr>
            <w:tcW w:w="92" w:type="dxa"/>
            <w:tcBorders/>
            <w:shd w:fill="CCEEFF"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pPr>
            <w:r>
              <w:rPr/>
              <w:t>Class B 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4,379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4,379</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226" w:type="dxa"/>
            <w:tcBorders/>
            <w:shd w:fill="CCEEFF" w:val="clear"/>
            <w:vAlign w:val="center"/>
          </w:tcPr>
          <w:p>
            <w:pPr>
              <w:pStyle w:val="TableContents"/>
              <w:bidi w:val="0"/>
              <w:spacing w:before="0" w:after="283"/>
              <w:jc w:val="left"/>
              <w:rPr/>
            </w:pPr>
            <w:r>
              <w:rPr/>
              <w:t>Treasury stock</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(29</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322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4,638,315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1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(B)851,782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pPr>
            <w:r>
              <w:rPr/>
              <w:t>(B)</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5,490,097</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226" w:type="dxa"/>
            <w:tcBorders/>
            <w:shd w:fill="CCEEFF" w:val="clear"/>
            <w:vAlign w:val="center"/>
          </w:tcPr>
          <w:p>
            <w:pPr>
              <w:pStyle w:val="TableContents"/>
              <w:bidi w:val="0"/>
              <w:spacing w:before="0" w:after="283"/>
              <w:jc w:val="left"/>
              <w:rPr/>
            </w:pPr>
            <w:r>
              <w:rPr/>
              <w:t>Statutory reserves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22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(1,502,858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(144,747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129"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(C)144,748</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pPr>
            <w:r>
              <w:rPr/>
              <w:t>(C)(E)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(1,503,606</w:t>
            </w:r>
          </w:p>
        </w:tc>
        <w:tc>
          <w:tcPr>
            <w:tcW w:w="92" w:type="dxa"/>
            <w:tcBorders/>
            <w:shd w:fill="FFFFFF" w:val="clear"/>
            <w:vAlign w:val="center"/>
          </w:tcPr>
          <w:p>
            <w:pPr>
              <w:pStyle w:val="TableContents"/>
              <w:bidi w:val="0"/>
              <w:spacing w:before="0" w:after="283"/>
              <w:ind w:left="0" w:right="0" w:hanging="180"/>
              <w:jc w:val="left"/>
              <w:rPr/>
            </w:pPr>
            <w:r>
              <w:rPr/>
              <w:t>)</w:t>
            </w:r>
          </w:p>
        </w:tc>
      </w:tr>
      <w:tr>
        <w:trPr/>
        <w:tc>
          <w:tcPr>
            <w:tcW w:w="322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pPr>
            <w:r>
              <w:rPr/>
              <w:t>2,614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CCEEFF" w:val="clear"/>
            <w:tcMar>
              <w:bottom w:w="28" w:type="dxa"/>
            </w:tcMar>
            <w:vAlign w:val="center"/>
          </w:tcPr>
          <w:p>
            <w:pPr>
              <w:pStyle w:val="TableContents"/>
              <w:bidi w:val="0"/>
              <w:spacing w:before="0" w:after="283"/>
              <w:jc w:val="right"/>
              <w:rPr/>
            </w:pPr>
            <w:r>
              <w:rPr/>
              <w:t>2,614</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3226" w:type="dxa"/>
            <w:tcBorders/>
            <w:shd w:fill="FFFFFF" w:val="clear"/>
            <w:vAlign w:val="center"/>
          </w:tcPr>
          <w:p>
            <w:pPr>
              <w:pStyle w:val="TableContents"/>
              <w:bidi w:val="0"/>
              <w:spacing w:before="0" w:after="283"/>
              <w:jc w:val="left"/>
              <w:rPr>
                <w:b/>
              </w:rPr>
            </w:pPr>
            <w:r>
              <w:rPr>
                <w:b/>
              </w:rPr>
              <w:t>Total Maase Inc. shareholders’ equity</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3,343,620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(133,373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2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1,038,776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4,249,023</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226" w:type="dxa"/>
            <w:tcBorders/>
            <w:shd w:fill="CCEEFF" w:val="clear"/>
            <w:vAlign w:val="center"/>
          </w:tcPr>
          <w:p>
            <w:pPr>
              <w:pStyle w:val="TableContents"/>
              <w:bidi w:val="0"/>
              <w:spacing w:before="0" w:after="283"/>
              <w:jc w:val="left"/>
              <w:rPr>
                <w:b/>
              </w:rPr>
            </w:pPr>
            <w:r>
              <w:rPr>
                <w:b/>
              </w:rPr>
              <w:t>Noncontrolling interests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21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(5,900</w:t>
            </w:r>
          </w:p>
        </w:tc>
        <w:tc>
          <w:tcPr>
            <w:tcW w:w="92" w:type="dxa"/>
            <w:tcBorders/>
            <w:shd w:fill="CCEEFF" w:val="clear"/>
            <w:vAlign w:val="center"/>
          </w:tcPr>
          <w:p>
            <w:pPr>
              <w:pStyle w:val="TableContents"/>
              <w:bidi w:val="0"/>
              <w:spacing w:before="0" w:after="283"/>
              <w:ind w:left="0" w:right="0" w:hanging="180"/>
              <w:jc w:val="left"/>
              <w:rPr>
                <w:b/>
              </w:rPr>
            </w:pPr>
            <w:r>
              <w:rPr>
                <w:b/>
              </w:rPr>
              <w:t>)</w:t>
            </w:r>
          </w:p>
        </w:tc>
      </w:tr>
      <w:tr>
        <w:trPr/>
        <w:tc>
          <w:tcPr>
            <w:tcW w:w="3226"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3,343,620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(139,273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12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1,038,776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4,243,123</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3226" w:type="dxa"/>
            <w:tcBorders/>
            <w:shd w:fill="CCEEFF" w:val="clear"/>
            <w:vAlign w:val="center"/>
          </w:tcPr>
          <w:p>
            <w:pPr>
              <w:pStyle w:val="TableContents"/>
              <w:bidi w:val="0"/>
              <w:spacing w:before="0" w:after="283"/>
              <w:jc w:val="left"/>
              <w:rPr>
                <w:b/>
              </w:rPr>
            </w:pPr>
            <w:r>
              <w:rPr>
                <w:b/>
              </w:rPr>
              <w:t>Total liabilities, mezzanine equity and shareholders’ equity</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3,453,807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212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1,234,771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4,812,468</w:t>
            </w:r>
          </w:p>
        </w:tc>
        <w:tc>
          <w:tcPr>
            <w:tcW w:w="9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MAAS Group column reflects the historical consolidated balance sheet as of December 31, 2025, which reflects the deconsolidation of the AIFU Group and disposal of the Puyi Group as discontinued operations, and the acquisition of Carve Group and Real Prospect. Times Good is presented assuming the acquisition occurred on December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Statements of Operations and Comprehensive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December 31, 2025</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8"/>
        <w:gridCol w:w="60"/>
        <w:gridCol w:w="67"/>
        <w:gridCol w:w="1037"/>
        <w:gridCol w:w="80"/>
        <w:gridCol w:w="60"/>
        <w:gridCol w:w="107"/>
        <w:gridCol w:w="872"/>
        <w:gridCol w:w="80"/>
        <w:gridCol w:w="60"/>
        <w:gridCol w:w="92"/>
        <w:gridCol w:w="933"/>
        <w:gridCol w:w="80"/>
        <w:gridCol w:w="60"/>
        <w:gridCol w:w="89"/>
        <w:gridCol w:w="867"/>
        <w:gridCol w:w="80"/>
        <w:gridCol w:w="60"/>
        <w:gridCol w:w="71"/>
        <w:gridCol w:w="1116"/>
        <w:gridCol w:w="80"/>
        <w:gridCol w:w="60"/>
        <w:gridCol w:w="411"/>
        <w:gridCol w:w="60"/>
        <w:gridCol w:w="60"/>
        <w:gridCol w:w="928"/>
        <w:gridCol w:w="87"/>
      </w:tblGrid>
      <w:tr>
        <w:trPr/>
        <w:tc>
          <w:tcPr>
            <w:tcW w:w="2648"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MAAS</w:t>
              <w:br/>
              <w:t>Group (Historical)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Carve</w:t>
              <w:br/>
              <w:t>Group (Historical)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Real</w:t>
              <w:br/>
              <w:t>Prospect (Historical)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Times</w:t>
              <w:br/>
              <w:t>Good (Historical)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Transaction</w:t>
              <w:br/>
              <w:t>Accounting 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w:t>
            </w:r>
          </w:p>
        </w:tc>
        <w:tc>
          <w:tcPr>
            <w:tcW w:w="60" w:type="dxa"/>
            <w:tcBorders/>
            <w:vAlign w:val="center"/>
          </w:tcPr>
          <w:p>
            <w:pPr>
              <w:pStyle w:val="TableContents"/>
              <w:bidi w:val="0"/>
              <w:spacing w:before="0" w:after="283"/>
              <w:jc w:val="left"/>
              <w:rPr/>
            </w:pPr>
            <w:r>
              <w:rPr/>
              <w:t> </w:t>
            </w:r>
          </w:p>
        </w:tc>
        <w:tc>
          <w:tcPr>
            <w:tcW w:w="98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Proforma</w:t>
              <w:br/>
              <w:t>For the</w:t>
              <w:br/>
              <w:t>Six Months</w:t>
              <w:br/>
              <w:t>Ended</w:t>
              <w:br/>
              <w:t>December 31,</w:t>
              <w:br/>
              <w:t>2025</w:t>
            </w:r>
          </w:p>
        </w:tc>
        <w:tc>
          <w:tcPr>
            <w:tcW w:w="87" w:type="dxa"/>
            <w:tcBorders/>
            <w:vAlign w:val="center"/>
          </w:tcPr>
          <w:p>
            <w:pPr>
              <w:pStyle w:val="TableContents"/>
              <w:bidi w:val="0"/>
              <w:spacing w:before="0" w:after="283"/>
              <w:ind w:left="0" w:right="0" w:hanging="180"/>
              <w:jc w:val="left"/>
              <w:rPr/>
            </w:pPr>
            <w:r>
              <w:rPr/>
              <w:t> </w:t>
            </w:r>
          </w:p>
        </w:tc>
      </w:tr>
      <w:tr>
        <w:trPr/>
        <w:tc>
          <w:tcPr>
            <w:tcW w:w="2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7" w:type="dxa"/>
            <w:tcBorders/>
            <w:vAlign w:val="center"/>
          </w:tcPr>
          <w:p>
            <w:pPr>
              <w:pStyle w:val="TableContents"/>
              <w:bidi w:val="0"/>
              <w:spacing w:before="0" w:after="283"/>
              <w:ind w:left="0" w:right="0" w:hanging="180"/>
              <w:jc w:val="left"/>
              <w:rPr/>
            </w:pPr>
            <w:r>
              <w:rPr/>
              <w:t> </w:t>
            </w:r>
          </w:p>
        </w:tc>
      </w:tr>
      <w:tr>
        <w:trPr/>
        <w:tc>
          <w:tcPr>
            <w:tcW w:w="2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revenues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4,559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86,039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94,308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Cost of revenues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(67,632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(74,632</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expenses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(8,635</w:t>
            </w:r>
          </w:p>
        </w:tc>
        <w:tc>
          <w:tcPr>
            <w:tcW w:w="87"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(18,669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(7,293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(D)(2,072)</w:t>
              <w:br/>
              <w:t>(E)(749)</w:t>
              <w:br/>
              <w:t>(H)(2,166)</w:t>
              <w:br/>
              <w:t>(K)(483)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(D)(E)</w:t>
              <w:br/>
              <w:t>(H)(K)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(32,422</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(3,692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(4,077</w:t>
            </w:r>
          </w:p>
        </w:tc>
        <w:tc>
          <w:tcPr>
            <w:tcW w:w="87"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(21,939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(1,151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(4,996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(86,210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(5,470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(119,766</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Impairment loss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Loss from operations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(18,801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(579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(437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(5,470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(25,043</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Other income (loss),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 from fair value change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(1,329</w:t>
            </w:r>
          </w:p>
        </w:tc>
        <w:tc>
          <w:tcPr>
            <w:tcW w:w="87"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 loss from short-term investments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 loss from derivative financial assets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145</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income,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(15,487</w:t>
            </w:r>
          </w:p>
        </w:tc>
        <w:tc>
          <w:tcPr>
            <w:tcW w:w="87"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Others, net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114,237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113,939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Loss before income taxes and share of loss of affiliates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(463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113,734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(14,775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(5,470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72,983</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 benefit (expense)</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(F)311</w:t>
              <w:br/>
              <w:t>(G)423</w:t>
              <w:br/>
              <w:t>(I)542</w:t>
              <w:br/>
              <w:t>(J)542</w:t>
              <w:br/>
              <w:t>(L)24</w:t>
              <w:br/>
              <w:t>(M)24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(F)(G)</w:t>
              <w:br/>
              <w:t>(I)(J)</w:t>
              <w:br/>
              <w:t>(L)(M)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2,961</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 of loss of affiliates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(1,225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(1,225</w:t>
            </w:r>
          </w:p>
        </w:tc>
        <w:tc>
          <w:tcPr>
            <w:tcW w:w="87"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loss from continuing operations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(20,173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(463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113,734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(14,775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(3,604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74,719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Less: net loss from continuing operations attributable to the noncontrolling interests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(589</w:t>
            </w:r>
          </w:p>
        </w:tc>
        <w:tc>
          <w:tcPr>
            <w:tcW w:w="87"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loss attributable to owners of MAAS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(20,173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(463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113,734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(14,186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(3,604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75,308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loss per share from continuing operations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0.277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0.277</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2648"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184,208,961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(B)87,400,144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271,609,105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2648"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184,208,961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(B)87,400,144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271,609,105</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MAAS Group column reflects the historical consolidated statements of operations and comprehensive loss for the six months ended December 31, 2025, which reflects the deconsolidation of the AIFU Group and disposal of the Puyi Group as discontinued operations and the post-acquisition 4 months of Carve Group (acquired in August 2025) and the post-acquisition 2 months of Real Prospect (acquired in October 2025). The Carve Group column reflects the historical combined statements of operations and comprehensive loss for Carve Group for the pre-acquisition period of 2 months and the Real Prospect column reflects the historical combined statements of operations and comprehensive loss for Real Prospect for the pre-acquisition 4 months. The Times Good column reflects the historical combined statements of operations and comprehensive loss for Times Good for the six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Combined Statements of Operations and Comprehensive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 2025</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9"/>
        <w:gridCol w:w="60"/>
        <w:gridCol w:w="61"/>
        <w:gridCol w:w="824"/>
        <w:gridCol w:w="80"/>
        <w:gridCol w:w="60"/>
        <w:gridCol w:w="91"/>
        <w:gridCol w:w="736"/>
        <w:gridCol w:w="80"/>
        <w:gridCol w:w="60"/>
        <w:gridCol w:w="91"/>
        <w:gridCol w:w="737"/>
        <w:gridCol w:w="80"/>
        <w:gridCol w:w="60"/>
        <w:gridCol w:w="68"/>
        <w:gridCol w:w="756"/>
        <w:gridCol w:w="80"/>
        <w:gridCol w:w="60"/>
        <w:gridCol w:w="74"/>
        <w:gridCol w:w="750"/>
        <w:gridCol w:w="80"/>
        <w:gridCol w:w="60"/>
        <w:gridCol w:w="71"/>
        <w:gridCol w:w="755"/>
        <w:gridCol w:w="80"/>
        <w:gridCol w:w="60"/>
        <w:gridCol w:w="61"/>
        <w:gridCol w:w="1166"/>
        <w:gridCol w:w="80"/>
        <w:gridCol w:w="60"/>
        <w:gridCol w:w="383"/>
        <w:gridCol w:w="60"/>
        <w:gridCol w:w="62"/>
        <w:gridCol w:w="976"/>
        <w:gridCol w:w="84"/>
      </w:tblGrid>
      <w:tr>
        <w:trPr/>
        <w:tc>
          <w:tcPr>
            <w:tcW w:w="135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7"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4"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Pro Forma Adjustments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 w:type="dxa"/>
            <w:gridSpan w:val="2"/>
            <w:tcBorders/>
            <w:vAlign w:val="center"/>
          </w:tcPr>
          <w:p>
            <w:pPr>
              <w:pStyle w:val="TableContents"/>
              <w:bidi w:val="0"/>
              <w:spacing w:before="0" w:after="283"/>
              <w:jc w:val="center"/>
              <w:rPr>
                <w:b/>
              </w:rPr>
            </w:pPr>
            <w:r>
              <w:rPr>
                <w:b/>
              </w:rPr>
              <w:t xml:space="preserve">Proforma </w:t>
              <w:br/>
            </w:r>
            <w:r>
              <w:rPr>
                <w:rFonts w:ascii="Times New Roman;Times;Serif" w:hAnsi="Times New Roman;Times;Serif"/>
                <w:b/>
                <w:sz w:val="16"/>
              </w:rPr>
              <w:t>For the year</w:t>
            </w:r>
          </w:p>
        </w:tc>
        <w:tc>
          <w:tcPr>
            <w:tcW w:w="84" w:type="dxa"/>
            <w:tcBorders/>
            <w:vAlign w:val="center"/>
          </w:tcPr>
          <w:p>
            <w:pPr>
              <w:pStyle w:val="TableContents"/>
              <w:bidi w:val="0"/>
              <w:spacing w:before="0" w:after="283"/>
              <w:ind w:left="0" w:right="0" w:hanging="180"/>
              <w:jc w:val="center"/>
              <w:rPr/>
            </w:pPr>
            <w:r>
              <w:rPr/>
              <w:t> </w:t>
            </w:r>
          </w:p>
        </w:tc>
      </w:tr>
      <w:tr>
        <w:trPr/>
        <w:tc>
          <w:tcPr>
            <w:tcW w:w="13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MAAS Group (Historical)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Carve Group (Historical)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Real Prospect (Historical)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Times Good (Historical)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Puyi Group (Historical)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AIFU Group (Historical)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Transaction Accounting Adjustments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Note</w:t>
            </w:r>
          </w:p>
        </w:tc>
        <w:tc>
          <w:tcPr>
            <w:tcW w:w="60" w:type="dxa"/>
            <w:tcBorders/>
            <w:vAlign w:val="center"/>
          </w:tcPr>
          <w:p>
            <w:pPr>
              <w:pStyle w:val="TableContents"/>
              <w:bidi w:val="0"/>
              <w:spacing w:before="0" w:after="283"/>
              <w:jc w:val="center"/>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Ended June 30, 2025</w:t>
            </w:r>
          </w:p>
        </w:tc>
        <w:tc>
          <w:tcPr>
            <w:tcW w:w="84" w:type="dxa"/>
            <w:tcBorders/>
            <w:vAlign w:val="center"/>
          </w:tcPr>
          <w:p>
            <w:pPr>
              <w:pStyle w:val="TableContents"/>
              <w:bidi w:val="0"/>
              <w:spacing w:before="0" w:after="283"/>
              <w:ind w:left="0" w:right="0" w:hanging="180"/>
              <w:jc w:val="center"/>
              <w:rPr/>
            </w:pPr>
            <w:r>
              <w:rPr/>
              <w:t> </w:t>
            </w:r>
          </w:p>
        </w:tc>
      </w:tr>
      <w:tr>
        <w:trPr/>
        <w:tc>
          <w:tcPr>
            <w:tcW w:w="13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7"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8"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4"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4"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6"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RMB</w:t>
            </w:r>
          </w:p>
        </w:tc>
        <w:tc>
          <w:tcPr>
            <w:tcW w:w="84" w:type="dxa"/>
            <w:tcBorders/>
            <w:vAlign w:val="center"/>
          </w:tcPr>
          <w:p>
            <w:pPr>
              <w:pStyle w:val="TableContents"/>
              <w:bidi w:val="0"/>
              <w:spacing w:before="0" w:after="283"/>
              <w:ind w:left="0" w:right="0" w:hanging="180"/>
              <w:jc w:val="left"/>
              <w:rPr/>
            </w:pPr>
            <w:r>
              <w:rPr/>
              <w:t> </w:t>
            </w:r>
          </w:p>
        </w:tc>
      </w:tr>
      <w:tr>
        <w:trPr/>
        <w:tc>
          <w:tcPr>
            <w:tcW w:w="13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revenues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781,216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136,801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(53,820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(728,162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(AA)766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(AA)</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140,472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Cost of revenues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(397,359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(2,251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(588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(109,340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6,880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391,102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(AA)(623)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(AA)</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(112,179</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Selling expenses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(77,120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68,546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(8,898</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(556,780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(19,160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96,835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371,523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(D)(4,143)</w:t>
              <w:br/>
              <w:t>(E)(766)</w:t>
              <w:br/>
              <w:t>(N)(551)</w:t>
              <w:br/>
              <w:t>(O)(12,997)</w:t>
              <w:br/>
              <w:t>(R)(551)</w:t>
              <w:br/>
              <w:t>(S)(1,450)</w:t>
              <w:br/>
              <w:t>(AA)82,979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(D)(E)</w:t>
              <w:br/>
              <w:t>(N)(O)</w:t>
              <w:br/>
              <w:t>(R)(S)</w:t>
              <w:br/>
              <w:t>(AA)</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(48,223</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Research and development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(15,212</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(1,031,259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(5,482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(1,543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(151,675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112,378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831,171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61,898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(184,512</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Impairment loss</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(441,298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(13,526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277,180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(AA)164,118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(AA)</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(13,526</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Loss from operations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(691,341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rFonts w:eastAsia="Times New Roman;Times;Serif"/>
                <w:b/>
                <w:sz w:val="16"/>
              </w:rPr>
              <w:t>（</w:t>
            </w:r>
            <w:r>
              <w:rPr>
                <w:rFonts w:ascii="Times New Roman;Times;Serif" w:hAnsi="Times New Roman;Times;Serif"/>
                <w:b/>
                <w:sz w:val="16"/>
              </w:rPr>
              <w:t>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(28,400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58,558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380,189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226,782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(57,566</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Other income (loss), net: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Gain on disposal of subsidiaries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897,398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(902,398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(AA)5,000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(AA)</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 from fair value change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Derecognition of a contingent consideration</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(22,267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22,267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 income related to the realized gain on available-for-sale investments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(27,042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(AA)(1,018,684)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(AA)</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(1,013,662</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Interest income, net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(22,710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(22,561</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Impairment loss on goodwill</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(13,501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(13,501</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Investment loss from derivative financial assets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(2,479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(2,479</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Others, net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(591,676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87,866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489,064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(14,642</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Loss before income taxes and share of loss of affiliates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(352,366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(1,906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(67,063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141,598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(56,424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(786,902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(1,124,417</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Income tax benefit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(11,184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93,115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(P)3,249</w:t>
              <w:br/>
              <w:t>(Q)3,387</w:t>
              <w:br/>
              <w:t>(T)72</w:t>
              <w:br/>
              <w:t>(U)100</w:t>
              <w:br/>
              <w:t>(V)621</w:t>
              <w:br/>
              <w:t>(W)736</w:t>
              <w:br/>
              <w:t>(AA) (101,573)</w:t>
              <w:br/>
              <w:t>(AB)(2)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(P)(Q)</w:t>
              <w:br/>
              <w:t>(T)(U)</w:t>
              <w:br/>
              <w:t>(V)(W)</w:t>
              <w:br/>
              <w:t>(AA)</w:t>
              <w:br/>
              <w:t>(AB)</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8,130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Share of loss of affiliates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(3,834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(336,558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(1,776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(67,096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130,414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40,525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(880,312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(1,116,157</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Less: net loss from continuing operations attributable to the noncontrolling interests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(172,676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(AA)117,380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(AA)</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(265</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loss attributable to owners of MAAS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(163,882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(1,776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(66,830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130,414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(14,772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(997,692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(1,115,892</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b/>
                <w:sz w:val="16"/>
              </w:rPr>
            </w:pPr>
            <w:r>
              <w:rPr>
                <w:rFonts w:ascii="Times New Roman;Times;Serif" w:hAnsi="Times New Roman;Times;Serif"/>
                <w:b/>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Net loss per share from continuing operations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(21.817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(2.869</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(2.869</w:t>
            </w:r>
          </w:p>
        </w:tc>
        <w:tc>
          <w:tcPr>
            <w:tcW w:w="84" w:type="dxa"/>
            <w:tcBorders/>
            <w:shd w:fill="CCEEFF" w:val="clear"/>
            <w:vAlign w:val="center"/>
          </w:tcPr>
          <w:p>
            <w:pPr>
              <w:pStyle w:val="TableContents"/>
              <w:bidi w:val="0"/>
              <w:spacing w:before="0" w:after="283"/>
              <w:ind w:left="0" w:right="0" w:hanging="180"/>
              <w:jc w:val="left"/>
              <w:rPr>
                <w:rFonts w:ascii="Times New Roman;Times;Serif" w:hAnsi="Times New Roman;Times;Serif"/>
                <w:sz w:val="16"/>
              </w:rPr>
            </w:pPr>
            <w:r>
              <w:rPr>
                <w:rFonts w:ascii="Times New Roman;Times;Serif" w:hAnsi="Times New Roman;Times;Serif"/>
                <w:sz w:val="16"/>
              </w:rPr>
              <w:t>)</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1359"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Basic</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7,609,798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(B)87,400,144</w:t>
              <w:br/>
              <w:t>(AC)195,894,609</w:t>
              <w:br/>
              <w:t>(AD)98,002,174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br/>
              <w:t>(AC)</w:t>
              <w:br/>
              <w:t>(AD)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388,906,725</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1359"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Diluted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7,609,798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(B)87,400,144</w:t>
              <w:br/>
              <w:t>(AC)195,894,609</w:t>
              <w:br/>
              <w:t>(AD)98,002,174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Times;Serif" w:hAnsi="Times New Roman;Times;Serif"/>
                <w:sz w:val="16"/>
              </w:rPr>
            </w:pPr>
            <w:r>
              <w:rPr>
                <w:rFonts w:ascii="Times New Roman;Times;Serif" w:hAnsi="Times New Roman;Times;Serif"/>
                <w:sz w:val="16"/>
              </w:rPr>
              <w:t>(B)</w:t>
              <w:br/>
              <w:t>(AC)</w:t>
              <w:br/>
              <w:t>(AD)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388,906,725</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Pro Forma Condensed Consolidated Statements of Operations and Comprehensive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 2024</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3"/>
        <w:gridCol w:w="60"/>
        <w:gridCol w:w="68"/>
        <w:gridCol w:w="1212"/>
        <w:gridCol w:w="95"/>
        <w:gridCol w:w="60"/>
        <w:gridCol w:w="83"/>
        <w:gridCol w:w="1129"/>
        <w:gridCol w:w="95"/>
        <w:gridCol w:w="60"/>
        <w:gridCol w:w="78"/>
        <w:gridCol w:w="1150"/>
        <w:gridCol w:w="95"/>
        <w:gridCol w:w="60"/>
        <w:gridCol w:w="66"/>
        <w:gridCol w:w="1515"/>
        <w:gridCol w:w="60"/>
        <w:gridCol w:w="60"/>
        <w:gridCol w:w="60"/>
        <w:gridCol w:w="559"/>
        <w:gridCol w:w="60"/>
        <w:gridCol w:w="60"/>
        <w:gridCol w:w="60"/>
        <w:gridCol w:w="983"/>
        <w:gridCol w:w="84"/>
      </w:tblGrid>
      <w:tr>
        <w:trPr/>
        <w:tc>
          <w:tcPr>
            <w:tcW w:w="23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Pro Forma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center"/>
              <w:rPr>
                <w:b/>
                <w:sz w:val="20"/>
              </w:rPr>
            </w:pPr>
            <w:r>
              <w:rPr>
                <w:b/>
                <w:sz w:val="20"/>
              </w:rPr>
              <w:t xml:space="preserve">Proforma </w:t>
              <w:br/>
            </w:r>
            <w:r>
              <w:rPr>
                <w:rFonts w:ascii="Times New Roman;Times;Serif" w:hAnsi="Times New Roman;Times;Serif"/>
                <w:b/>
                <w:sz w:val="20"/>
              </w:rPr>
              <w:t>For the year</w:t>
            </w:r>
          </w:p>
        </w:tc>
        <w:tc>
          <w:tcPr>
            <w:tcW w:w="84" w:type="dxa"/>
            <w:tcBorders/>
            <w:vAlign w:val="center"/>
          </w:tcPr>
          <w:p>
            <w:pPr>
              <w:pStyle w:val="TableContents"/>
              <w:bidi w:val="0"/>
              <w:spacing w:before="0" w:after="283"/>
              <w:ind w:left="0" w:right="0" w:hanging="180"/>
              <w:jc w:val="left"/>
              <w:rPr/>
            </w:pPr>
            <w:r>
              <w:rPr/>
              <w:t> </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MAAS Group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Puyi Group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AIFU Group (Historical)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Ended</w:t>
              <w:br/>
              <w:t>June 30,</w:t>
              <w:br/>
              <w:t>2024</w:t>
            </w:r>
          </w:p>
        </w:tc>
        <w:tc>
          <w:tcPr>
            <w:tcW w:w="84" w:type="dxa"/>
            <w:tcBorders/>
            <w:vAlign w:val="center"/>
          </w:tcPr>
          <w:p>
            <w:pPr>
              <w:pStyle w:val="TableContents"/>
              <w:bidi w:val="0"/>
              <w:spacing w:before="0" w:after="283"/>
              <w:ind w:left="0" w:right="0" w:hanging="180"/>
              <w:jc w:val="left"/>
              <w:rPr/>
            </w:pPr>
            <w:r>
              <w:rPr/>
              <w:t> </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center"/>
              <w:rPr>
                <w:b/>
              </w:rPr>
            </w:pPr>
            <w:r>
              <w:rPr>
                <w:b/>
              </w:rPr>
              <w:t>RMB</w:t>
            </w:r>
          </w:p>
        </w:tc>
        <w:tc>
          <w:tcPr>
            <w:tcW w:w="84" w:type="dxa"/>
            <w:tcBorders/>
            <w:vAlign w:val="center"/>
          </w:tcPr>
          <w:p>
            <w:pPr>
              <w:pStyle w:val="TableContents"/>
              <w:bidi w:val="0"/>
              <w:spacing w:before="0" w:after="283"/>
              <w:ind w:left="0" w:right="0" w:hanging="180"/>
              <w:jc w:val="left"/>
              <w:rPr/>
            </w:pPr>
            <w:r>
              <w:rPr/>
              <w:t> </w:t>
            </w:r>
          </w:p>
        </w:tc>
      </w:tr>
      <w:tr>
        <w:trPr/>
        <w:tc>
          <w:tcPr>
            <w:tcW w:w="23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963,212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(64,158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(901,063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(AA)2,009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b/>
              </w:rPr>
            </w:pPr>
            <w:r>
              <w:rPr>
                <w:b/>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(568,278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b/>
              </w:rPr>
            </w:pPr>
            <w:r>
              <w:rPr>
                <w:b/>
              </w:rPr>
              <w:t>17,600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551,247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(AA)(569)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(76,733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18,422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58,919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(AA)(698)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(90</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393"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(355,252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68,177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238,686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(AA)40,782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(7,607</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39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b/>
              </w:rPr>
            </w:pPr>
            <w:r>
              <w:rPr>
                <w:b/>
              </w:rPr>
              <w:t>Total operating costs and expenses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(1,000,263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b/>
              </w:rPr>
            </w:pPr>
            <w:r>
              <w:rPr>
                <w:b/>
              </w:rPr>
              <w:t>104,199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848,852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b/>
              </w:rPr>
            </w:pPr>
            <w:r>
              <w:rPr>
                <w:b/>
              </w:rPr>
              <w:t>39,515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b/>
              </w:rPr>
            </w:pPr>
            <w:r>
              <w:rPr>
                <w:b/>
              </w:rPr>
              <w:t>(7,697</w:t>
            </w:r>
          </w:p>
        </w:tc>
        <w:tc>
          <w:tcPr>
            <w:tcW w:w="84" w:type="dxa"/>
            <w:tcBorders/>
            <w:shd w:fill="CCEEFF" w:val="clear"/>
            <w:vAlign w:val="center"/>
          </w:tcPr>
          <w:p>
            <w:pPr>
              <w:pStyle w:val="TableContents"/>
              <w:bidi w:val="0"/>
              <w:spacing w:before="0" w:after="283"/>
              <w:ind w:left="0" w:right="0" w:hanging="180"/>
              <w:jc w:val="left"/>
              <w:rPr>
                <w:b/>
              </w:rPr>
            </w:pPr>
            <w:r>
              <w:rPr>
                <w:b/>
              </w:rPr>
              <w:t>)</w:t>
            </w:r>
          </w:p>
        </w:tc>
      </w:tr>
      <w:tr>
        <w:trPr/>
        <w:tc>
          <w:tcPr>
            <w:tcW w:w="2393" w:type="dxa"/>
            <w:tcBorders/>
            <w:shd w:fill="FFFFFF" w:val="clear"/>
            <w:vAlign w:val="center"/>
          </w:tcPr>
          <w:p>
            <w:pPr>
              <w:pStyle w:val="TableContents"/>
              <w:bidi w:val="0"/>
              <w:spacing w:before="0" w:after="283"/>
              <w:jc w:val="left"/>
              <w:rPr/>
            </w:pPr>
            <w:r>
              <w:rPr/>
              <w:t>Impairment loss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(426,410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(AA)426,410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(463,461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b/>
              </w:rPr>
            </w:pPr>
            <w:r>
              <w:rPr>
                <w:b/>
              </w:rPr>
              <w:t>40,041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(52,211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b/>
              </w:rPr>
            </w:pPr>
            <w:r>
              <w:rPr>
                <w:b/>
              </w:rPr>
              <w:t>467,934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b/>
              </w:rPr>
            </w:pPr>
            <w:r>
              <w:rPr>
                <w:b/>
              </w:rPr>
              <w:t>(7,697</w:t>
            </w:r>
          </w:p>
        </w:tc>
        <w:tc>
          <w:tcPr>
            <w:tcW w:w="84" w:type="dxa"/>
            <w:tcBorders/>
            <w:shd w:fill="CCEEFF" w:val="clear"/>
            <w:vAlign w:val="center"/>
          </w:tcPr>
          <w:p>
            <w:pPr>
              <w:pStyle w:val="TableContents"/>
              <w:bidi w:val="0"/>
              <w:spacing w:before="0" w:after="283"/>
              <w:ind w:left="0" w:right="0" w:hanging="180"/>
              <w:jc w:val="left"/>
              <w:rPr>
                <w:b/>
              </w:rPr>
            </w:pPr>
            <w:r>
              <w:rPr>
                <w:b/>
              </w:rPr>
              <w:t>)</w:t>
            </w:r>
          </w:p>
        </w:tc>
      </w:tr>
      <w:tr>
        <w:trPr/>
        <w:tc>
          <w:tcPr>
            <w:tcW w:w="2393" w:type="dxa"/>
            <w:tcBorders/>
            <w:shd w:fill="FFFFFF" w:val="clear"/>
            <w:vAlign w:val="center"/>
          </w:tcPr>
          <w:p>
            <w:pPr>
              <w:pStyle w:val="TableContents"/>
              <w:bidi w:val="0"/>
              <w:spacing w:before="0" w:after="283"/>
              <w:jc w:val="left"/>
              <w:rPr>
                <w:b/>
              </w:rPr>
            </w:pPr>
            <w:r>
              <w:rPr>
                <w:b/>
              </w:rPr>
              <w:t>Other income (loss),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pPr>
            <w:r>
              <w:rPr/>
              <w:t>Net loss from fair value change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(73,761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73,761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pPr>
            <w:r>
              <w:rPr/>
              <w:t>Investment income related to the realized gain on available-for-sale investments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22,016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(5,617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(21,493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(AA)5,094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pPr>
            <w:r>
              <w:rPr/>
              <w:t>Interest income, net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(8,474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(7,258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519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pPr>
            <w:r>
              <w:rPr/>
              <w:t>Others, net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FFFFFF" w:val="clear"/>
            <w:tcMar>
              <w:bottom w:w="28" w:type="dxa"/>
            </w:tcMar>
            <w:vAlign w:val="center"/>
          </w:tcPr>
          <w:p>
            <w:pPr>
              <w:pStyle w:val="TableContents"/>
              <w:bidi w:val="0"/>
              <w:spacing w:before="0" w:after="283"/>
              <w:jc w:val="right"/>
              <w:rPr/>
            </w:pPr>
            <w:r>
              <w:rPr/>
              <w:t>(2,149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2,021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FFFFFF" w:val="clear"/>
            <w:tcMar>
              <w:bottom w:w="28" w:type="dxa"/>
            </w:tcMar>
            <w:vAlign w:val="center"/>
          </w:tcPr>
          <w:p>
            <w:pPr>
              <w:pStyle w:val="TableContents"/>
              <w:bidi w:val="0"/>
              <w:spacing w:before="0" w:after="283"/>
              <w:jc w:val="right"/>
              <w:rPr/>
            </w:pPr>
            <w:r>
              <w:rPr/>
              <w:t>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1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bidi w:val="0"/>
              <w:spacing w:before="0" w:after="283"/>
              <w:jc w:val="right"/>
              <w:rPr/>
            </w:pPr>
            <w:r>
              <w:rPr/>
              <w:t>164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b/>
              </w:rPr>
            </w:pPr>
            <w:r>
              <w:rPr>
                <w:b/>
              </w:rPr>
              <w:t>Loss before income taxes and share of loss of affiliates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(501,104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b/>
              </w:rPr>
            </w:pPr>
            <w:r>
              <w:rPr>
                <w:b/>
              </w:rPr>
              <w:t>27,971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(6,909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b/>
              </w:rPr>
            </w:pPr>
            <w:r>
              <w:rPr>
                <w:b/>
              </w:rPr>
              <w:t>473,028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b/>
              </w:rPr>
            </w:pPr>
            <w:r>
              <w:rPr>
                <w:b/>
              </w:rPr>
              <w:t>(7,014</w:t>
            </w:r>
          </w:p>
        </w:tc>
        <w:tc>
          <w:tcPr>
            <w:tcW w:w="84" w:type="dxa"/>
            <w:tcBorders/>
            <w:shd w:fill="CCEEFF" w:val="clear"/>
            <w:vAlign w:val="center"/>
          </w:tcPr>
          <w:p>
            <w:pPr>
              <w:pStyle w:val="TableContents"/>
              <w:bidi w:val="0"/>
              <w:spacing w:before="0" w:after="283"/>
              <w:ind w:left="0" w:right="0" w:hanging="180"/>
              <w:jc w:val="left"/>
              <w:rPr>
                <w:b/>
              </w:rPr>
            </w:pPr>
            <w:r>
              <w:rPr>
                <w:b/>
              </w:rPr>
              <w:t>)</w:t>
            </w:r>
          </w:p>
        </w:tc>
      </w:tr>
      <w:tr>
        <w:trPr/>
        <w:tc>
          <w:tcPr>
            <w:tcW w:w="2393"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(13,526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16,677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7,240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(AA)(10,391) (AB)(12)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(AA)(AB)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(12</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393" w:type="dxa"/>
            <w:tcBorders/>
            <w:shd w:fill="CCEEFF" w:val="clear"/>
            <w:vAlign w:val="center"/>
          </w:tcPr>
          <w:p>
            <w:pPr>
              <w:pStyle w:val="TableContents"/>
              <w:bidi w:val="0"/>
              <w:spacing w:before="0" w:after="283"/>
              <w:jc w:val="left"/>
              <w:rPr/>
            </w:pPr>
            <w:r>
              <w:rPr/>
              <w:t>Share of (loss)/income of affiliates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2" w:type="dxa"/>
            <w:tcBorders>
              <w:bottom w:val="single" w:sz="12" w:space="0" w:color="000000"/>
            </w:tcBorders>
            <w:shd w:fill="CCEEFF" w:val="clear"/>
            <w:tcMar>
              <w:bottom w:w="28" w:type="dxa"/>
            </w:tcMar>
            <w:vAlign w:val="center"/>
          </w:tcPr>
          <w:p>
            <w:pPr>
              <w:pStyle w:val="TableContents"/>
              <w:bidi w:val="0"/>
              <w:spacing w:before="0" w:after="283"/>
              <w:jc w:val="right"/>
              <w:rPr/>
            </w:pPr>
            <w:r>
              <w:rPr/>
              <w:t>(1,218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1,218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b/>
              </w:rPr>
            </w:pPr>
            <w:r>
              <w:rPr>
                <w:b/>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(515,848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b/>
              </w:rPr>
            </w:pPr>
            <w:r>
              <w:rPr>
                <w:b/>
              </w:rPr>
              <w:t>44,648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b/>
              </w:rPr>
            </w:pPr>
            <w:r>
              <w:rPr>
                <w:b/>
              </w:rPr>
              <w:t>1,549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b/>
              </w:rPr>
            </w:pPr>
            <w:r>
              <w:rPr>
                <w:b/>
              </w:rPr>
              <w:t>462,625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b/>
              </w:rPr>
            </w:pPr>
            <w:r>
              <w:rPr>
                <w:b/>
              </w:rPr>
              <w:t>(7,026</w:t>
            </w:r>
          </w:p>
        </w:tc>
        <w:tc>
          <w:tcPr>
            <w:tcW w:w="84" w:type="dxa"/>
            <w:tcBorders/>
            <w:shd w:fill="FFFFFF" w:val="clear"/>
            <w:vAlign w:val="center"/>
          </w:tcPr>
          <w:p>
            <w:pPr>
              <w:pStyle w:val="TableContents"/>
              <w:bidi w:val="0"/>
              <w:spacing w:before="0" w:after="283"/>
              <w:ind w:left="0" w:right="0" w:hanging="180"/>
              <w:jc w:val="left"/>
              <w:rPr>
                <w:b/>
              </w:rPr>
            </w:pPr>
            <w:r>
              <w:rPr>
                <w:b/>
              </w:rPr>
              <w:t>)</w:t>
            </w:r>
          </w:p>
        </w:tc>
      </w:tr>
      <w:tr>
        <w:trPr/>
        <w:tc>
          <w:tcPr>
            <w:tcW w:w="2393" w:type="dxa"/>
            <w:tcBorders/>
            <w:shd w:fill="CCEEFF" w:val="clear"/>
            <w:vAlign w:val="center"/>
          </w:tcPr>
          <w:p>
            <w:pPr>
              <w:pStyle w:val="TableContents"/>
              <w:bidi w:val="0"/>
              <w:spacing w:before="0" w:after="283"/>
              <w:jc w:val="left"/>
              <w:rPr>
                <w:b/>
              </w:rPr>
            </w:pPr>
            <w:r>
              <w:rPr>
                <w:b/>
              </w:rPr>
              <w:t>Less: net loss from continuing operations attributable to the noncontrolling interests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b/>
              </w:rPr>
            </w:pPr>
            <w:r>
              <w:rPr>
                <w:b/>
              </w:rPr>
              <w:t>(224,476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b/>
              </w:rPr>
            </w:pPr>
            <w:r>
              <w:rPr>
                <w:b/>
              </w:rPr>
              <w:t>6,407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(AA)218,069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b/>
              </w:rPr>
            </w:pPr>
            <w:r>
              <w:rPr>
                <w:b/>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b/>
              </w:rPr>
            </w:pPr>
            <w:r>
              <w:rPr>
                <w:b/>
              </w:rPr>
              <w:t>Net loss from continuing operations attributable to owners of MAAS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b/>
              </w:rPr>
            </w:pPr>
            <w:r>
              <w:rPr>
                <w:b/>
              </w:rPr>
              <w:t>(291,372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b/>
              </w:rPr>
            </w:pPr>
            <w:r>
              <w:rPr>
                <w:b/>
              </w:rPr>
              <w:t>44,648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(4,858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244,556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b/>
              </w:rPr>
            </w:pPr>
            <w:r>
              <w:rPr>
                <w:b/>
              </w:rPr>
              <w:t>(7,026</w:t>
            </w:r>
          </w:p>
        </w:tc>
        <w:tc>
          <w:tcPr>
            <w:tcW w:w="84" w:type="dxa"/>
            <w:tcBorders/>
            <w:shd w:fill="FFFFFF" w:val="clear"/>
            <w:vAlign w:val="center"/>
          </w:tcPr>
          <w:p>
            <w:pPr>
              <w:pStyle w:val="TableContents"/>
              <w:bidi w:val="0"/>
              <w:spacing w:before="0" w:after="283"/>
              <w:ind w:left="0" w:right="0" w:hanging="180"/>
              <w:jc w:val="left"/>
              <w:rPr>
                <w:b/>
              </w:rPr>
            </w:pPr>
            <w:r>
              <w:rPr>
                <w:b/>
              </w:rPr>
              <w:t>)</w:t>
            </w:r>
          </w:p>
        </w:tc>
      </w:tr>
      <w:tr>
        <w:trPr/>
        <w:tc>
          <w:tcPr>
            <w:tcW w:w="2393" w:type="dxa"/>
            <w:tcBorders/>
            <w:shd w:fill="CCEEFF" w:val="clear"/>
            <w:vAlign w:val="center"/>
          </w:tcPr>
          <w:p>
            <w:pPr>
              <w:pStyle w:val="TableContents"/>
              <w:bidi w:val="0"/>
              <w:spacing w:before="0" w:after="283"/>
              <w:jc w:val="left"/>
              <w:rPr>
                <w:b/>
              </w:rPr>
            </w:pPr>
            <w:r>
              <w:rPr>
                <w:b/>
              </w:rPr>
              <w:t>Net loss per share from continuing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(112.982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(2.717</w:t>
            </w:r>
          </w:p>
        </w:tc>
        <w:tc>
          <w:tcPr>
            <w:tcW w:w="84" w:type="dxa"/>
            <w:tcBorders/>
            <w:shd w:fill="FFFFFF" w:val="clear"/>
            <w:vAlign w:val="center"/>
          </w:tcPr>
          <w:p>
            <w:pPr>
              <w:pStyle w:val="TableContents"/>
              <w:bidi w:val="0"/>
              <w:spacing w:before="0" w:after="283"/>
              <w:ind w:left="0" w:right="0" w:hanging="180"/>
              <w:jc w:val="left"/>
              <w:rPr/>
            </w:pPr>
            <w:r>
              <w:rPr/>
              <w:t>)</w:t>
            </w:r>
          </w:p>
        </w:tc>
      </w:tr>
      <w:tr>
        <w:trPr/>
        <w:tc>
          <w:tcPr>
            <w:tcW w:w="2393"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(114.205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(2.717</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2393" w:type="dxa"/>
            <w:tcBorders/>
            <w:shd w:fill="FFFFFF" w:val="clear"/>
            <w:vAlign w:val="center"/>
          </w:tcPr>
          <w:p>
            <w:pPr>
              <w:pStyle w:val="TableContents"/>
              <w:bidi w:val="0"/>
              <w:spacing w:before="0" w:after="283"/>
              <w:jc w:val="left"/>
              <w:rPr>
                <w:b/>
              </w:rPr>
            </w:pPr>
            <w:r>
              <w:rPr>
                <w:b/>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393"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2,586,237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559"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2,586,237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393"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2,586,237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2,586,237</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Consolidated Statements of Operations and Comprehensive Income/Loss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June 30, 2023</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for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8"/>
        <w:gridCol w:w="60"/>
        <w:gridCol w:w="67"/>
        <w:gridCol w:w="1108"/>
        <w:gridCol w:w="95"/>
        <w:gridCol w:w="60"/>
        <w:gridCol w:w="101"/>
        <w:gridCol w:w="1487"/>
        <w:gridCol w:w="95"/>
        <w:gridCol w:w="60"/>
        <w:gridCol w:w="121"/>
        <w:gridCol w:w="1780"/>
        <w:gridCol w:w="60"/>
        <w:gridCol w:w="60"/>
        <w:gridCol w:w="590"/>
        <w:gridCol w:w="60"/>
        <w:gridCol w:w="60"/>
        <w:gridCol w:w="986"/>
        <w:gridCol w:w="87"/>
      </w:tblGrid>
      <w:tr>
        <w:trPr/>
        <w:tc>
          <w:tcPr>
            <w:tcW w:w="3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6" w:type="dxa"/>
            <w:gridSpan w:val="2"/>
            <w:tcBorders/>
            <w:vAlign w:val="center"/>
          </w:tcPr>
          <w:p>
            <w:pPr>
              <w:pStyle w:val="TableContents"/>
              <w:bidi w:val="0"/>
              <w:spacing w:before="0" w:after="283"/>
              <w:jc w:val="center"/>
              <w:rPr/>
            </w:pPr>
            <w:r>
              <w:rPr>
                <w:rFonts w:ascii="Times New Roman;Times;Serif" w:hAnsi="Times New Roman;Times;Serif"/>
                <w:b/>
                <w:sz w:val="20"/>
              </w:rPr>
              <w:t>Proforma</w:t>
            </w:r>
            <w:r>
              <w:rPr/>
              <w:t xml:space="preserve"> </w:t>
            </w:r>
            <w:r>
              <w:rPr>
                <w:rFonts w:ascii="Times New Roman;Times;Serif" w:hAnsi="Times New Roman;Times;Serif"/>
                <w:sz w:val="20"/>
              </w:rPr>
              <w:br/>
            </w:r>
            <w:r>
              <w:rPr>
                <w:rFonts w:ascii="Times New Roman;Times;Serif" w:hAnsi="Times New Roman;Times;Serif"/>
                <w:b/>
                <w:sz w:val="20"/>
              </w:rPr>
              <w:t>For the year</w:t>
            </w:r>
          </w:p>
        </w:tc>
        <w:tc>
          <w:tcPr>
            <w:tcW w:w="87" w:type="dxa"/>
            <w:tcBorders/>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 Group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Puyi Group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 Accounting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04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br/>
              <w:t>June 30,</w:t>
              <w:br/>
              <w:t>2023</w:t>
            </w:r>
          </w:p>
        </w:tc>
        <w:tc>
          <w:tcPr>
            <w:tcW w:w="87" w:type="dxa"/>
            <w:tcBorders/>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1"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6" w:type="dxa"/>
            <w:gridSpan w:val="2"/>
            <w:tcBorders/>
            <w:vAlign w:val="center"/>
          </w:tcPr>
          <w:p>
            <w:pPr>
              <w:pStyle w:val="TableContents"/>
              <w:bidi w:val="0"/>
              <w:spacing w:before="0" w:after="283"/>
              <w:jc w:val="center"/>
              <w:rPr>
                <w:b/>
              </w:rPr>
            </w:pPr>
            <w:r>
              <w:rPr>
                <w:b/>
              </w:rPr>
              <w:t>RMB</w:t>
            </w:r>
          </w:p>
        </w:tc>
        <w:tc>
          <w:tcPr>
            <w:tcW w:w="87" w:type="dxa"/>
            <w:tcBorders/>
            <w:vAlign w:val="center"/>
          </w:tcPr>
          <w:p>
            <w:pPr>
              <w:pStyle w:val="TableContents"/>
              <w:bidi w:val="0"/>
              <w:spacing w:before="0" w:after="283"/>
              <w:jc w:val="left"/>
              <w:rPr/>
            </w:pPr>
            <w:r>
              <w:rPr/>
              <w:t> </w:t>
            </w:r>
          </w:p>
        </w:tc>
      </w:tr>
      <w:tr>
        <w:trPr/>
        <w:tc>
          <w:tcPr>
            <w:tcW w:w="32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8"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6" w:type="dxa"/>
            <w:gridSpan w:val="2"/>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3268" w:type="dxa"/>
            <w:tcBorders/>
            <w:shd w:fill="CCEEFF" w:val="clear"/>
            <w:vAlign w:val="center"/>
          </w:tcPr>
          <w:p>
            <w:pPr>
              <w:pStyle w:val="TableContents"/>
              <w:bidi w:val="0"/>
              <w:spacing w:before="0" w:after="283"/>
              <w:jc w:val="left"/>
              <w:rPr>
                <w:b/>
              </w:rPr>
            </w:pPr>
            <w:r>
              <w:rPr>
                <w:b/>
              </w:rPr>
              <w:t>Net revenues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(114,440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268" w:type="dxa"/>
            <w:tcBorders/>
            <w:shd w:fill="FFFFFF" w:val="clear"/>
            <w:vAlign w:val="center"/>
          </w:tcPr>
          <w:p>
            <w:pPr>
              <w:pStyle w:val="TableContents"/>
              <w:bidi w:val="0"/>
              <w:spacing w:before="0" w:after="283"/>
              <w:jc w:val="left"/>
              <w:rPr>
                <w:b/>
              </w:rPr>
            </w:pPr>
            <w:r>
              <w:rPr>
                <w:b/>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268"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b/>
              </w:rPr>
            </w:pPr>
            <w:r>
              <w:rPr>
                <w:b/>
              </w:rPr>
              <w:t>(20,285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b/>
              </w:rPr>
            </w:pPr>
            <w:r>
              <w:rPr>
                <w:b/>
              </w:rPr>
              <w:t>20,285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b/>
              </w:rPr>
            </w:pPr>
            <w:r>
              <w:rPr>
                <w:b/>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268" w:type="dxa"/>
            <w:tcBorders/>
            <w:shd w:fill="FFFFFF" w:val="clear"/>
            <w:vAlign w:val="center"/>
          </w:tcPr>
          <w:p>
            <w:pPr>
              <w:pStyle w:val="TableContents"/>
              <w:bidi w:val="0"/>
              <w:spacing w:before="0" w:after="283"/>
              <w:jc w:val="left"/>
              <w:rPr/>
            </w:pPr>
            <w:r>
              <w:rPr/>
              <w:t>Selling expenses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(60,560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60,560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268" w:type="dxa"/>
            <w:tcBorders/>
            <w:shd w:fill="CCEEFF" w:val="clear"/>
            <w:vAlign w:val="center"/>
          </w:tcPr>
          <w:p>
            <w:pPr>
              <w:pStyle w:val="TableContents"/>
              <w:bidi w:val="0"/>
              <w:spacing w:before="0" w:after="283"/>
              <w:jc w:val="left"/>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before="0" w:after="283"/>
              <w:jc w:val="right"/>
              <w:rPr/>
            </w:pPr>
            <w:r>
              <w:rPr/>
              <w:t>(92,399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before="0" w:after="283"/>
              <w:jc w:val="right"/>
              <w:rPr/>
            </w:pPr>
            <w:r>
              <w:rPr/>
              <w:t>90,315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(2,084</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3268" w:type="dxa"/>
            <w:tcBorders/>
            <w:shd w:fill="FFFFFF" w:val="clear"/>
            <w:vAlign w:val="center"/>
          </w:tcPr>
          <w:p>
            <w:pPr>
              <w:pStyle w:val="TableContents"/>
              <w:bidi w:val="0"/>
              <w:spacing w:before="0" w:after="283"/>
              <w:jc w:val="left"/>
              <w:rPr>
                <w:b/>
              </w:rPr>
            </w:pPr>
            <w:r>
              <w:rPr>
                <w:b/>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(173,244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171,160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(2,084</w:t>
            </w:r>
          </w:p>
        </w:tc>
        <w:tc>
          <w:tcPr>
            <w:tcW w:w="87" w:type="dxa"/>
            <w:tcBorders/>
            <w:shd w:fill="FFFFFF" w:val="clear"/>
            <w:vAlign w:val="center"/>
          </w:tcPr>
          <w:p>
            <w:pPr>
              <w:pStyle w:val="TableContents"/>
              <w:bidi w:val="0"/>
              <w:spacing w:before="0" w:after="283"/>
              <w:ind w:left="0" w:right="0" w:hanging="180"/>
              <w:jc w:val="left"/>
              <w:rPr>
                <w:b/>
              </w:rPr>
            </w:pPr>
            <w:r>
              <w:rPr>
                <w:b/>
              </w:rPr>
              <w:t>)</w:t>
            </w:r>
          </w:p>
        </w:tc>
      </w:tr>
      <w:tr>
        <w:trPr/>
        <w:tc>
          <w:tcPr>
            <w:tcW w:w="3268"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b/>
              </w:rPr>
            </w:pPr>
            <w:r>
              <w:rPr>
                <w:b/>
              </w:rPr>
              <w:t>(58,804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b/>
              </w:rPr>
            </w:pPr>
            <w:r>
              <w:rPr>
                <w:b/>
              </w:rPr>
              <w:t>56,720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b/>
              </w:rPr>
            </w:pPr>
            <w:r>
              <w:rPr>
                <w:b/>
              </w:rPr>
              <w:t>(2,084</w:t>
            </w:r>
          </w:p>
        </w:tc>
        <w:tc>
          <w:tcPr>
            <w:tcW w:w="87" w:type="dxa"/>
            <w:tcBorders/>
            <w:shd w:fill="CCEEFF" w:val="clear"/>
            <w:vAlign w:val="center"/>
          </w:tcPr>
          <w:p>
            <w:pPr>
              <w:pStyle w:val="TableContents"/>
              <w:bidi w:val="0"/>
              <w:spacing w:before="0" w:after="283"/>
              <w:ind w:left="0" w:right="0" w:hanging="180"/>
              <w:jc w:val="left"/>
              <w:rPr>
                <w:b/>
              </w:rPr>
            </w:pPr>
            <w:r>
              <w:rPr>
                <w:b/>
              </w:rPr>
              <w:t>)</w:t>
            </w:r>
          </w:p>
        </w:tc>
      </w:tr>
      <w:tr>
        <w:trPr/>
        <w:tc>
          <w:tcPr>
            <w:tcW w:w="3268" w:type="dxa"/>
            <w:tcBorders/>
            <w:shd w:fill="FFFFFF" w:val="clear"/>
            <w:vAlign w:val="center"/>
          </w:tcPr>
          <w:p>
            <w:pPr>
              <w:pStyle w:val="TableContents"/>
              <w:bidi w:val="0"/>
              <w:spacing w:before="0" w:after="283"/>
              <w:jc w:val="left"/>
              <w:rPr>
                <w:b/>
              </w:rPr>
            </w:pPr>
            <w:r>
              <w:rPr>
                <w:b/>
              </w:rPr>
              <w:t>Other income (loss),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268" w:type="dxa"/>
            <w:tcBorders/>
            <w:shd w:fill="CCEEFF" w:val="clear"/>
            <w:vAlign w:val="center"/>
          </w:tcPr>
          <w:p>
            <w:pPr>
              <w:pStyle w:val="TableContents"/>
              <w:bidi w:val="0"/>
              <w:spacing w:before="0" w:after="283"/>
              <w:jc w:val="left"/>
              <w:rPr/>
            </w:pPr>
            <w:r>
              <w:rPr/>
              <w:t>Investment income related to the realized gain on available-for-sale investments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13,561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(13,561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268"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8,591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(8,462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129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268" w:type="dxa"/>
            <w:tcBorders/>
            <w:shd w:fill="CCEEFF" w:val="clear"/>
            <w:vAlign w:val="center"/>
          </w:tcPr>
          <w:p>
            <w:pPr>
              <w:pStyle w:val="TableContents"/>
              <w:bidi w:val="0"/>
              <w:spacing w:before="0" w:after="283"/>
              <w:jc w:val="left"/>
              <w:rPr/>
            </w:pPr>
            <w:r>
              <w:rPr/>
              <w:t>Others, net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before="0" w:after="283"/>
              <w:jc w:val="right"/>
              <w:rPr/>
            </w:pPr>
            <w:r>
              <w:rPr/>
              <w:t>1,660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before="0" w:after="283"/>
              <w:jc w:val="right"/>
              <w:rPr/>
            </w:pPr>
            <w:r>
              <w:rPr/>
              <w:t>(1,503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157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268" w:type="dxa"/>
            <w:tcBorders/>
            <w:shd w:fill="FFFFFF" w:val="clear"/>
            <w:vAlign w:val="center"/>
          </w:tcPr>
          <w:p>
            <w:pPr>
              <w:pStyle w:val="TableContents"/>
              <w:bidi w:val="0"/>
              <w:spacing w:before="0" w:after="283"/>
              <w:jc w:val="left"/>
              <w:rPr>
                <w:b/>
              </w:rPr>
            </w:pPr>
            <w:r>
              <w:rPr>
                <w:b/>
              </w:rPr>
              <w:t>Loss before income taxes and share of loss of affiliates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b/>
              </w:rPr>
            </w:pPr>
            <w:r>
              <w:rPr>
                <w:b/>
              </w:rPr>
              <w:t>(34,992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b/>
              </w:rPr>
            </w:pPr>
            <w:r>
              <w:rPr>
                <w:b/>
              </w:rPr>
              <w:t>33,194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rPr>
            </w:pPr>
            <w:r>
              <w:rPr>
                <w:b/>
              </w:rPr>
              <w:t>(1,798</w:t>
            </w:r>
          </w:p>
        </w:tc>
        <w:tc>
          <w:tcPr>
            <w:tcW w:w="87" w:type="dxa"/>
            <w:tcBorders/>
            <w:shd w:fill="FFFFFF" w:val="clear"/>
            <w:vAlign w:val="center"/>
          </w:tcPr>
          <w:p>
            <w:pPr>
              <w:pStyle w:val="TableContents"/>
              <w:bidi w:val="0"/>
              <w:spacing w:before="0" w:after="283"/>
              <w:ind w:left="0" w:right="0" w:hanging="180"/>
              <w:jc w:val="left"/>
              <w:rPr>
                <w:b/>
              </w:rPr>
            </w:pPr>
            <w:r>
              <w:rPr>
                <w:b/>
              </w:rPr>
              <w:t>)</w:t>
            </w:r>
          </w:p>
        </w:tc>
      </w:tr>
      <w:tr>
        <w:trPr/>
        <w:tc>
          <w:tcPr>
            <w:tcW w:w="3268"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before="0" w:after="283"/>
              <w:jc w:val="right"/>
              <w:rPr/>
            </w:pPr>
            <w:r>
              <w:rPr/>
              <w:t>(8,585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87" w:type="dxa"/>
            <w:tcBorders>
              <w:bottom w:val="single" w:sz="12" w:space="0" w:color="000000"/>
            </w:tcBorders>
            <w:shd w:fill="CCEEFF" w:val="clear"/>
            <w:tcMar>
              <w:bottom w:w="28" w:type="dxa"/>
            </w:tcMar>
            <w:vAlign w:val="center"/>
          </w:tcPr>
          <w:p>
            <w:pPr>
              <w:pStyle w:val="TableContents"/>
              <w:bidi w:val="0"/>
              <w:spacing w:before="0" w:after="283"/>
              <w:jc w:val="right"/>
              <w:rPr/>
            </w:pPr>
            <w:r>
              <w:rPr/>
              <w:t>8,578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3268" w:type="dxa"/>
            <w:tcBorders/>
            <w:shd w:fill="FFFFFF" w:val="clear"/>
            <w:vAlign w:val="center"/>
          </w:tcPr>
          <w:p>
            <w:pPr>
              <w:pStyle w:val="TableContents"/>
              <w:bidi w:val="0"/>
              <w:spacing w:before="0" w:after="283"/>
              <w:jc w:val="left"/>
              <w:rPr>
                <w:b/>
              </w:rPr>
            </w:pPr>
            <w:r>
              <w:rPr>
                <w:b/>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b/>
              </w:rPr>
            </w:pPr>
            <w:r>
              <w:rPr>
                <w:b/>
              </w:rPr>
              <w:t>(43,577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b/>
              </w:rPr>
            </w:pPr>
            <w:r>
              <w:rPr>
                <w:b/>
              </w:rPr>
              <w:t>41,772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rPr>
            </w:pPr>
            <w:r>
              <w:rPr>
                <w:b/>
              </w:rPr>
              <w:t>(1,805</w:t>
            </w:r>
          </w:p>
        </w:tc>
        <w:tc>
          <w:tcPr>
            <w:tcW w:w="87" w:type="dxa"/>
            <w:tcBorders/>
            <w:shd w:fill="FFFFFF" w:val="clear"/>
            <w:vAlign w:val="center"/>
          </w:tcPr>
          <w:p>
            <w:pPr>
              <w:pStyle w:val="TableContents"/>
              <w:bidi w:val="0"/>
              <w:spacing w:before="0" w:after="283"/>
              <w:ind w:left="0" w:right="0" w:hanging="180"/>
              <w:jc w:val="left"/>
              <w:rPr>
                <w:b/>
              </w:rPr>
            </w:pPr>
            <w:r>
              <w:rPr>
                <w:b/>
              </w:rPr>
              <w:t>)</w:t>
            </w:r>
          </w:p>
        </w:tc>
      </w:tr>
      <w:tr>
        <w:trPr/>
        <w:tc>
          <w:tcPr>
            <w:tcW w:w="3268" w:type="dxa"/>
            <w:tcBorders/>
            <w:shd w:fill="CCEEFF" w:val="clear"/>
            <w:vAlign w:val="center"/>
          </w:tcPr>
          <w:p>
            <w:pPr>
              <w:pStyle w:val="TableContents"/>
              <w:bidi w:val="0"/>
              <w:spacing w:before="0" w:after="283"/>
              <w:jc w:val="left"/>
              <w:rPr>
                <w:b/>
              </w:rPr>
            </w:pPr>
            <w:r>
              <w:rPr>
                <w:b/>
              </w:rPr>
              <w:t>Less: net loss from continuing operations attributable to the noncontrolling interests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268" w:type="dxa"/>
            <w:tcBorders/>
            <w:shd w:fill="FFFFFF" w:val="clear"/>
            <w:vAlign w:val="center"/>
          </w:tcPr>
          <w:p>
            <w:pPr>
              <w:pStyle w:val="TableContents"/>
              <w:bidi w:val="0"/>
              <w:spacing w:before="0" w:after="283"/>
              <w:jc w:val="left"/>
              <w:rPr>
                <w:b/>
              </w:rPr>
            </w:pPr>
            <w:r>
              <w:rPr>
                <w:b/>
              </w:rPr>
              <w:t>Net loss from continuing operations attributable to owners of MAAS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b/>
              </w:rPr>
            </w:pPr>
            <w:r>
              <w:rPr>
                <w:b/>
              </w:rPr>
              <w:t>(43,577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b/>
              </w:rPr>
            </w:pPr>
            <w:r>
              <w:rPr>
                <w:b/>
              </w:rPr>
              <w:t>41,772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b/>
              </w:rPr>
            </w:pPr>
            <w:r>
              <w:rPr>
                <w:b/>
              </w:rPr>
              <w:t>(1,805</w:t>
            </w:r>
          </w:p>
        </w:tc>
        <w:tc>
          <w:tcPr>
            <w:tcW w:w="87" w:type="dxa"/>
            <w:tcBorders/>
            <w:shd w:fill="FFFFFF" w:val="clear"/>
            <w:vAlign w:val="center"/>
          </w:tcPr>
          <w:p>
            <w:pPr>
              <w:pStyle w:val="TableContents"/>
              <w:bidi w:val="0"/>
              <w:spacing w:before="0" w:after="283"/>
              <w:ind w:left="0" w:right="0" w:hanging="180"/>
              <w:jc w:val="left"/>
              <w:rPr>
                <w:b/>
              </w:rPr>
            </w:pPr>
            <w:r>
              <w:rPr>
                <w:b/>
              </w:rPr>
              <w:t>)</w:t>
            </w:r>
          </w:p>
        </w:tc>
      </w:tr>
      <w:tr>
        <w:trPr/>
        <w:tc>
          <w:tcPr>
            <w:tcW w:w="3268" w:type="dxa"/>
            <w:tcBorders/>
            <w:shd w:fill="CCEEFF" w:val="clear"/>
            <w:vAlign w:val="center"/>
          </w:tcPr>
          <w:p>
            <w:pPr>
              <w:pStyle w:val="TableContents"/>
              <w:bidi w:val="0"/>
              <w:spacing w:before="0" w:after="283"/>
              <w:jc w:val="left"/>
              <w:rPr>
                <w:b/>
              </w:rPr>
            </w:pPr>
            <w:r>
              <w:rPr>
                <w:b/>
              </w:rPr>
              <w:t>Net loss per share from continuing operations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268"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(43.35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(1.796</w:t>
            </w:r>
          </w:p>
        </w:tc>
        <w:tc>
          <w:tcPr>
            <w:tcW w:w="87" w:type="dxa"/>
            <w:tcBorders/>
            <w:shd w:fill="FFFFFF" w:val="clear"/>
            <w:vAlign w:val="center"/>
          </w:tcPr>
          <w:p>
            <w:pPr>
              <w:pStyle w:val="TableContents"/>
              <w:bidi w:val="0"/>
              <w:spacing w:before="0" w:after="283"/>
              <w:ind w:left="0" w:right="0" w:hanging="180"/>
              <w:jc w:val="left"/>
              <w:rPr/>
            </w:pPr>
            <w:r>
              <w:rPr/>
              <w:t>)</w:t>
            </w:r>
          </w:p>
        </w:tc>
      </w:tr>
      <w:tr>
        <w:trPr/>
        <w:tc>
          <w:tcPr>
            <w:tcW w:w="3268"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(43.35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(1.796</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3268" w:type="dxa"/>
            <w:tcBorders/>
            <w:shd w:fill="FFFFFF" w:val="clear"/>
            <w:vAlign w:val="center"/>
          </w:tcPr>
          <w:p>
            <w:pPr>
              <w:pStyle w:val="TableContents"/>
              <w:bidi w:val="0"/>
              <w:spacing w:before="0" w:after="283"/>
              <w:jc w:val="left"/>
              <w:rPr>
                <w:b/>
              </w:rPr>
            </w:pPr>
            <w:r>
              <w:rPr>
                <w:b/>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3268"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1,005,244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1,005,244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3268"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08" w:type="dxa"/>
            <w:tcBorders/>
            <w:shd w:fill="FFFFFF" w:val="clear"/>
            <w:vAlign w:val="center"/>
          </w:tcPr>
          <w:p>
            <w:pPr>
              <w:pStyle w:val="TableContents"/>
              <w:bidi w:val="0"/>
              <w:spacing w:before="0" w:after="283"/>
              <w:jc w:val="right"/>
              <w:rPr/>
            </w:pPr>
            <w:r>
              <w:rPr/>
              <w:t>1,005,244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8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1,005,244</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The unaudited pro forma condensed financial information for the year ended June 30, 2023 reflects only the effect of the disposal of the Puyi Group as discontinued operations. As the MAAS Group did not acquire the AIFU Group until the end of December 2023, no profits of the AIFU Group for the year ended June 30, 2023 have been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Financial Statements</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for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from the MAAS Group’s historical accounting records and in accordance with Article 11 of SEC Regulation S-X, as amended by the final rule, Release No. 33-10786.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December 31, 2025 gives effect to the completed acquisition of Times Good as if it occurred on December 31, 2025. The unaudited pro forma condensed combined statements of operations and comprehensive loss give effect to the Transactions as if they had occurred on July 1, 2024 for certain transaction accounting adjustments, except for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Puyi Disposal: Presented as if it occurred on July 1, 2022 for statement of operations purposes, reflecting 12 months of PUYI operations for fiscal years 2023, 2024, and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AIFU Deconsolidation: Presented as if it occurred on December 31, 2023 for statement of operations purposes, reflecting 6 months of AIFU operations for fiscal year 2024 and 12 months for fiscal year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eliminated intercompany activity that will continue following these transactions is reflected as a transaction accounting adjustment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columns represent the removal of their results of operations of the AIFU Group and the Puyi Group from the MAAS Group’s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consolidated financial statements do not project the Company’s future consolidated financial statements, nor are they intended to represent or indicate the actual consolidated financial statements that the Company would have had if the Transactions had occurred on the indicated dates. Furthermore, the unaudited pro forma condensed consolidated financial statements do not reflect the realization of any expected cost savings, synergies, or dis-synergies resulting from the Transactions, and they do not encompass all actions that the Company undertake subsequent to the closing of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Preliminary Purchase Price Allocation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Preliminary purchase price allocation for the acquisition of Carve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 accounted for the acquisition of Carve Group and its subsidiaries as a business combination under U.S. GAAP. The total consideration transferred was allocated to the identifiable assets acquired and liabilities assumed based on their estimated fair values as of the acquisition date. The purchase price exceeded the net fair value of the identifiable assets, resulting in the recognition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fair value of the purchase price and the preliminary allocation of the purchase price to the assets acquired and liabilities assumed: </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3410"/>
        <w:gridCol w:w="60"/>
        <w:gridCol w:w="60"/>
        <w:gridCol w:w="980"/>
        <w:gridCol w:w="7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b/>
              </w:rPr>
            </w:pPr>
            <w:r>
              <w:rPr>
                <w:b/>
              </w:rPr>
              <w:t>Consideration transferred:</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Stock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2,102,028</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b/>
              </w:rPr>
            </w:pPr>
            <w:r>
              <w:rPr>
                <w:b/>
              </w:rPr>
              <w:t>Total fair value of purchase price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2,102,028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contingent consideration was included in the transaction, as the offer was structured as an unconditional cash purchase. Therefore, the total consideration transferred is RMB2.1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fair value of the identifiable net assets of Carve Group and its subsidiaries as of August 31, 2025:</w:t>
      </w:r>
    </w:p>
    <w:p>
      <w:pPr>
        <w:pStyle w:val="TextBody"/>
        <w:bidi w:val="0"/>
        <w:spacing w:before="0" w:after="0"/>
        <w:ind w:left="0" w:right="0" w:firstLine="360"/>
        <w:jc w:val="both"/>
        <w:rPr>
          <w:caps w:val="false"/>
          <w:smallCaps w:val="false"/>
        </w:rPr>
      </w:pPr>
      <w:r>
        <w:rPr>
          <w:caps w:val="false"/>
          <w:smallCaps w:val="false"/>
        </w:rPr>
        <w:t> </w:t>
      </w:r>
    </w:p>
    <w:tbl>
      <w:tblPr>
        <w:tblW w:w="8185" w:type="dxa"/>
        <w:jc w:val="left"/>
        <w:tblInd w:w="0" w:type="dxa"/>
        <w:tblLayout w:type="fixed"/>
        <w:tblCellMar>
          <w:top w:w="0" w:type="dxa"/>
          <w:left w:w="0" w:type="dxa"/>
          <w:bottom w:w="28" w:type="dxa"/>
          <w:right w:w="0" w:type="dxa"/>
        </w:tblCellMar>
      </w:tblPr>
      <w:tblGrid>
        <w:gridCol w:w="7010"/>
        <w:gridCol w:w="60"/>
        <w:gridCol w:w="60"/>
        <w:gridCol w:w="980"/>
        <w:gridCol w:w="75"/>
      </w:tblGrid>
      <w:tr>
        <w:trPr/>
        <w:tc>
          <w:tcPr>
            <w:tcW w:w="7010"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tcMar>
              <w:bottom w:w="0" w:type="dxa"/>
            </w:tcMar>
            <w:vAlign w:val="center"/>
          </w:tcPr>
          <w:p>
            <w:pPr>
              <w:pStyle w:val="TableContents"/>
              <w:bidi w:val="0"/>
              <w:spacing w:before="0" w:after="283"/>
              <w:jc w:val="left"/>
              <w:rPr/>
            </w:pPr>
            <w:r>
              <w:rPr/>
              <w:t> </w:t>
            </w:r>
          </w:p>
        </w:tc>
      </w:tr>
      <w:tr>
        <w:trPr/>
        <w:tc>
          <w:tcPr>
            <w:tcW w:w="7010" w:type="dxa"/>
            <w:tcBorders/>
            <w:tcMar>
              <w:bottom w:w="0" w:type="dxa"/>
            </w:tcMar>
            <w:vAlign w:val="center"/>
          </w:tcPr>
          <w:p>
            <w:pPr>
              <w:pStyle w:val="TableContents"/>
              <w:bidi w:val="0"/>
              <w:spacing w:before="0" w:after="283"/>
              <w:jc w:val="left"/>
              <w:rPr>
                <w:b/>
              </w:rPr>
            </w:pPr>
            <w:r>
              <w:rPr>
                <w:b/>
              </w:rPr>
              <w:t>Assets acquired</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Cash and cash equivalents and restricted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Short term investments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306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Accounts receivable and contract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185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Amounts due from related parties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Other receivables and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Inventories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1,973,463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Investments in affiliates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Property, plant,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10,231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Intangible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66,910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 Software Copyright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9,425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 Patent right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11,766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 Trademark rights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12,398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 Management Team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8,223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 Customer Relations and Sales Channels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9,109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 Scientific Research Collaboration and Intellectual Property Coordination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7,148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 Supply Chain and Production Qualifications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8,350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 Other Intangible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84,962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Right of use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105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Total assets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2,137,170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b/>
              </w:rPr>
            </w:pPr>
            <w:r>
              <w:rPr>
                <w:b/>
              </w:rPr>
              <w:t>Liabilities Assumed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Accounts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Contract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Other payable and accrued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17,730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Accrued payroll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139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Operating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pPr>
            <w:r>
              <w:rPr/>
              <w:t>Deferred tax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16,605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7010" w:type="dxa"/>
            <w:tcBorders/>
            <w:shd w:fill="CCEEFF" w:val="clear"/>
            <w:tcMar>
              <w:bottom w:w="0" w:type="dxa"/>
            </w:tcMar>
            <w:vAlign w:val="center"/>
          </w:tcPr>
          <w:p>
            <w:pPr>
              <w:pStyle w:val="TableContents"/>
              <w:bidi w:val="0"/>
              <w:spacing w:before="0" w:after="283"/>
              <w:jc w:val="left"/>
              <w:rPr/>
            </w:pPr>
            <w:r>
              <w:rPr/>
              <w:t>Total liabilities assumed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35,142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7010" w:type="dxa"/>
            <w:tcBorders/>
            <w:shd w:fill="FFFFFF" w:val="clear"/>
            <w:tcMar>
              <w:bottom w:w="0" w:type="dxa"/>
            </w:tcMar>
            <w:vAlign w:val="center"/>
          </w:tcPr>
          <w:p>
            <w:pPr>
              <w:pStyle w:val="TableContents"/>
              <w:bidi w:val="0"/>
              <w:spacing w:before="0" w:after="283"/>
              <w:jc w:val="left"/>
              <w:rPr>
                <w:b/>
              </w:rPr>
            </w:pPr>
            <w:r>
              <w:rPr>
                <w:b/>
              </w:rPr>
              <w:t>Total identifiable net assets acquired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980" w:type="dxa"/>
            <w:tcBorders>
              <w:bottom w:val="double" w:sz="10" w:space="0" w:color="000000"/>
            </w:tcBorders>
            <w:shd w:fill="FFFFFF" w:val="clear"/>
            <w:vAlign w:val="center"/>
          </w:tcPr>
          <w:p>
            <w:pPr>
              <w:pStyle w:val="TableContents"/>
              <w:bidi w:val="0"/>
              <w:spacing w:before="0" w:after="283"/>
              <w:jc w:val="right"/>
              <w:rPr>
                <w:b/>
              </w:rPr>
            </w:pPr>
            <w:r>
              <w:rPr>
                <w:b/>
              </w:rPr>
              <w:t>2,102,028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recognized as a separate asset as the aggregate of (1) the consideration transferred (in accordance with ASC 805, generally at acquisition-date fair value), (2) the fair value of any non-controlling interests, and (3) the fair value of the acquirer’s previously-held equity interest, less the fair value of the net identifiable assets. The pro forma balance sheet includes preliminary goodwill of RMB84,962, representing the excess of purchase consideration over the fair value of identifiable net assets acquired. This amount is subject to final adjustment during the measurement period, not to exceed one year post-acquisition.</w:t>
      </w:r>
    </w:p>
    <w:p>
      <w:pPr>
        <w:pStyle w:val="TextBody"/>
        <w:bidi w:val="0"/>
        <w:spacing w:before="0" w:after="0"/>
        <w:ind w:left="0" w:right="0" w:firstLine="36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5810"/>
        <w:gridCol w:w="60"/>
        <w:gridCol w:w="60"/>
        <w:gridCol w:w="980"/>
        <w:gridCol w:w="75"/>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2025</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b/>
              </w:rPr>
            </w:pPr>
            <w:r>
              <w:rPr>
                <w:b/>
              </w:rPr>
              <w:t>Fair value of the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2,102,028</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Less: Recognized value of the identifiable net assets acquired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2,017,066</w:t>
            </w:r>
          </w:p>
        </w:tc>
        <w:tc>
          <w:tcPr>
            <w:tcW w:w="75"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b/>
              </w:rPr>
            </w:pPr>
            <w:r>
              <w:rPr>
                <w:b/>
              </w:rPr>
              <w:t>Goodwill recognized on consolidated level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84,962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Preliminary purchase price allocation for the acquisition of Real Prospect: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MAAS accounted for the acquisition of Real Prospect and its subsidiaries as a business combination under U.S. GAAP. The total consideration transferred was allocated to the identifiable assets acquired and liabilities assumed based on their estimated fair values as of the acquisition date. The purchase price exceeded the net fair value of the identifiable assets, resulting in the recognition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fair value of the purchase price and the preliminary allocation of the purchase price to the assets acquired and liabilities assumed: </w:t>
      </w:r>
    </w:p>
    <w:p>
      <w:pPr>
        <w:pStyle w:val="TextBody"/>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3410"/>
        <w:gridCol w:w="60"/>
        <w:gridCol w:w="60"/>
        <w:gridCol w:w="980"/>
        <w:gridCol w:w="75"/>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b/>
              </w:rPr>
            </w:pPr>
            <w:r>
              <w:rPr>
                <w:b/>
              </w:rPr>
              <w:t>Consideration transferred</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Stock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1,043,547</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b/>
              </w:rPr>
            </w:pPr>
            <w:r>
              <w:rPr>
                <w:b/>
              </w:rPr>
              <w:t>Total fair value of purchase price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1,043,547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contingent consideration was included in the transaction, as the offer was structured as an unconditional cash purchase. Therefore, the total consideration transferred is RMB1.0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fair value of the identifiable net assets of Real Prospect and its subsidiaries as of October 31, 2025:</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4325"/>
        <w:gridCol w:w="60"/>
        <w:gridCol w:w="60"/>
        <w:gridCol w:w="980"/>
        <w:gridCol w:w="75"/>
      </w:tblGrid>
      <w:tr>
        <w:trPr/>
        <w:tc>
          <w:tcPr>
            <w:tcW w:w="4325" w:type="dxa"/>
            <w:tcBorders/>
            <w:vAlign w:val="center"/>
          </w:tcPr>
          <w:p>
            <w:pPr>
              <w:pStyle w:val="TableContents"/>
              <w:bidi w:val="0"/>
              <w:spacing w:before="0" w:after="283"/>
              <w:jc w:val="left"/>
              <w:rPr>
                <w:b/>
              </w:rPr>
            </w:pPr>
            <w:r>
              <w:rPr>
                <w:b/>
              </w:rPr>
              <w:t>Description</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b/>
              </w:rPr>
            </w:pPr>
            <w:r>
              <w:rPr>
                <w:b/>
              </w:rPr>
              <w:t>Assets acquired</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2,392</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Accounts receivable and contract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376</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35,791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receivables and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2,800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2,453</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Investments in affiliates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114,244</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6,925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907,877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Intangible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15,411</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Software Copyright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5,315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Patent right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3,865</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Trademark rights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5,315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Other Intangible Asset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Right of use asset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663</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assets acquired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1,088,932</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b/>
              </w:rPr>
            </w:pPr>
            <w:r>
              <w:rPr>
                <w:b/>
              </w:rPr>
              <w:t>Liabilities Assumed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Accounts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384</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7,116</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Other payable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4,389</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Accrued payroll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Long-term loan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2,048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572</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726</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29,800</w:t>
            </w:r>
          </w:p>
        </w:tc>
        <w:tc>
          <w:tcPr>
            <w:tcW w:w="75"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liabilities assumed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45,385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Total identifiable net assets acquired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1,043,547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recognized as a separate asset as the aggregate of (1) the consideration transferred (in accordance with ASC 805, generally at acquisition-date fair value), (2) the fair value of any non-controlling interests, and (3) the fair value of the acquirer’s previously-held equity interest, less the fair value of the net identifiable assets. The pro forma balance sheet includes preliminary goodwill of RMB 907,877, representing the excess of purchase consideration over the fair value of identifiable net assets acquired. This amount is subject to final adjustment during the measurement period, not to exceed one year post-acquisition.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5810"/>
        <w:gridCol w:w="60"/>
        <w:gridCol w:w="60"/>
        <w:gridCol w:w="980"/>
        <w:gridCol w:w="75"/>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2025</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b/>
              </w:rPr>
            </w:pPr>
            <w:r>
              <w:rPr>
                <w:b/>
              </w:rPr>
              <w:t>Fair value of the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1,043,547</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shd w:fill="FFFFFF" w:val="clear"/>
            <w:vAlign w:val="center"/>
          </w:tcPr>
          <w:p>
            <w:pPr>
              <w:pStyle w:val="TableContents"/>
              <w:bidi w:val="0"/>
              <w:spacing w:before="0" w:after="283"/>
              <w:jc w:val="left"/>
              <w:rPr/>
            </w:pPr>
            <w:r>
              <w:rPr/>
              <w:t>Less: Recognized value of the identifiable net assets acquired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135,670</w:t>
            </w:r>
          </w:p>
        </w:tc>
        <w:tc>
          <w:tcPr>
            <w:tcW w:w="75" w:type="dxa"/>
            <w:tcBorders/>
            <w:shd w:fill="FFFFFF" w:val="clear"/>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b/>
              </w:rPr>
            </w:pPr>
            <w:r>
              <w:rPr>
                <w:b/>
              </w:rPr>
              <w:t>Goodwill recognized on consolidated level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907,877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5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Preliminary purchase price allocation for the acquisition of Times Good: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method of accounting, the identifiable assets acquired and liabilities assumed are recorded at fair values. The purchase price allocation provided in the pro forma condensed combined financial statements is based on estimates of the fair value of the assets acquired and liabilities assumed that were determined by the independent appraisers retained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as provided in the transaction agreement with respect to Times Good, provides for the sellers to receive 87,400,144 Class A ordinary shares of the Company, and US$26.0 million in cash consideration. The 87,400,144 Class A ordinary shares were fairly valued, taking into consideration a liquidity discount reflecting the 60-month resale restriction on the issued shares.</w:t>
      </w:r>
    </w:p>
    <w:p>
      <w:pPr>
        <w:pStyle w:val="TextBody"/>
        <w:bidi w:val="0"/>
        <w:spacing w:before="0" w:after="0"/>
        <w:ind w:left="0" w:right="0" w:hanging="0"/>
        <w:jc w:val="both"/>
        <w:rPr>
          <w:caps w:val="false"/>
          <w:smallCaps w:val="false"/>
        </w:rPr>
      </w:pPr>
      <w:r>
        <w:rPr>
          <w:caps w:val="false"/>
          <w:smallCaps w:val="false"/>
        </w:rPr>
        <w:t> </w:t>
      </w:r>
    </w:p>
    <w:tbl>
      <w:tblPr>
        <w:tblW w:w="6459" w:type="dxa"/>
        <w:jc w:val="left"/>
        <w:tblInd w:w="0" w:type="dxa"/>
        <w:tblLayout w:type="fixed"/>
        <w:tblCellMar>
          <w:top w:w="0" w:type="dxa"/>
          <w:left w:w="0" w:type="dxa"/>
          <w:bottom w:w="0" w:type="dxa"/>
          <w:right w:w="0" w:type="dxa"/>
        </w:tblCellMar>
      </w:tblPr>
      <w:tblGrid>
        <w:gridCol w:w="5120"/>
        <w:gridCol w:w="60"/>
        <w:gridCol w:w="69"/>
        <w:gridCol w:w="1135"/>
        <w:gridCol w:w="75"/>
      </w:tblGrid>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Estimated fair value of Class A ordinary shares issued</w:t>
            </w:r>
          </w:p>
        </w:tc>
        <w:tc>
          <w:tcPr>
            <w:tcW w:w="60" w:type="dxa"/>
            <w:tcBorders/>
            <w:shd w:fill="CCEEFF" w:val="clear"/>
            <w:vAlign w:val="center"/>
          </w:tcPr>
          <w:p>
            <w:pPr>
              <w:pStyle w:val="TableContents"/>
              <w:bidi w:val="0"/>
              <w:spacing w:before="0" w:after="283"/>
              <w:jc w:val="left"/>
              <w:rPr/>
            </w:pPr>
            <w:r>
              <w:rPr/>
              <w:t> </w:t>
            </w:r>
          </w:p>
        </w:tc>
        <w:tc>
          <w:tcPr>
            <w:tcW w:w="1204" w:type="dxa"/>
            <w:gridSpan w:val="2"/>
            <w:tcBorders/>
            <w:shd w:fill="CCEEFF" w:val="clear"/>
            <w:vAlign w:val="center"/>
          </w:tcPr>
          <w:p>
            <w:pPr>
              <w:pStyle w:val="TableContents"/>
              <w:bidi w:val="0"/>
              <w:spacing w:before="0" w:after="283"/>
              <w:jc w:val="right"/>
              <w:rPr/>
            </w:pPr>
            <w:r>
              <w:rPr/>
              <w:t>906,151</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5" w:type="dxa"/>
            <w:tcBorders>
              <w:bottom w:val="single" w:sz="12" w:space="0" w:color="000000"/>
            </w:tcBorders>
            <w:shd w:fill="FFFFFF" w:val="clear"/>
            <w:tcMar>
              <w:bottom w:w="28" w:type="dxa"/>
            </w:tcMar>
            <w:vAlign w:val="center"/>
          </w:tcPr>
          <w:p>
            <w:pPr>
              <w:pStyle w:val="TableContents"/>
              <w:bidi w:val="0"/>
              <w:spacing w:before="0" w:after="283"/>
              <w:jc w:val="right"/>
              <w:rPr/>
            </w:pPr>
            <w:r>
              <w:rPr/>
              <w:t>179,709</w:t>
            </w:r>
          </w:p>
        </w:tc>
        <w:tc>
          <w:tcPr>
            <w:tcW w:w="75"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Estimated fair value of consideration transferred</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5" w:type="dxa"/>
            <w:tcBorders>
              <w:bottom w:val="double" w:sz="10" w:space="0" w:color="000000"/>
            </w:tcBorders>
            <w:shd w:fill="CCEEFF" w:val="clear"/>
            <w:tcMar>
              <w:bottom w:w="28" w:type="dxa"/>
            </w:tcMar>
            <w:vAlign w:val="center"/>
          </w:tcPr>
          <w:p>
            <w:pPr>
              <w:pStyle w:val="TableContents"/>
              <w:bidi w:val="0"/>
              <w:spacing w:before="0" w:after="283"/>
              <w:jc w:val="right"/>
              <w:rPr/>
            </w:pPr>
            <w:r>
              <w:rPr/>
              <w:t>1,085,860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pro forma purchase price allocation includes certain identifiable intangible assets with an estimated fair value of approximately RMB103,577. These intangible assets consist of brands, domain names and trademarks. Brands and domain names are determined to possess an indefinite useful life; consequently, no amortization expense is recognized for them, and they are subject to annual impairment testing in accordance with ASC 350. Trademarks have a finite useful life of 10 years and are amortized using the straight-line method over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amount of the purchase price in excess of the amounts assigned to the fair value of the Times Good’s assets acquired and the liabilities assumed. Goodwill will not be amortized, but will be tested for impairment at least annually for events or circumstances that may indicate a possible impairment exists. In the event management determines that the value of goodwill has been impaired, we will incur an impairment charge during the period in which the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identifiable intangible assets acquired was estimated using a combination of different methods under the cost-based approach. The cost-based approach is a general way of determining a value indication of a business, business ownership interest, security, or intangible asset by using one or more methods that convert anticipated economic benefits into a present single amount. This valuation technique requires us to make certain assumptions about future operating and financial performance and cash flow, and other such variables which are discounted to present value using a discount rate that reflects the risk factors associated with future cash flow, the characteristics of the assets acquired, the relationship between the assets acquired and the business as a whole, and the experience of the acquired business. Such valuation methodologies and estimates are subject to change, possibly materially, as additional information becomes available and as additional analyses are performed.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Adjustments to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included in the pro forma adjustments’ column of the unaudited pro forma condensed combined balance sheet and the unaudited pro forma condensed combined statement of operations and comprehensive loss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Reflects adjustments to record the fair value of Times Good’s identifiable intangible, specifically trademark rights, brands and domain names, assets totaling RMB103,577, and the recognition of a corresponding deferred tax liability of RMB15,537 arising from the difference between the tax base and the accounting basis of the intangible assets. Assuming the acquisition is completed on December 31, 2025, amortization expense totaling RMB2,072, and the resulting goodwill of RMB1,131,194 recognized upon completion of the acquisition. Assuming the acquisition is completed on June 30, 2025, amortization expense totaling RMB4,143, and the resulting goodwill of RMB1,117,007 recognized upon completion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Reflects adjustments to record the issuance of 87,400,144 Class A ordinary shares of MAAS (par value: US$0.09 per share), as consideration shares at a purchase price of US$1.5 per share, together with a cash consideration of US$26 million (equivalent to approximately RMB179,709). The total consideration is paid for the acquisition of Times Good and its subsidiaries, and the cash shall be paid within 365 days after the closing of the transaction contemplated under the Transaction Agreement.</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Reflects the adjustments to record the elimination of MAAS’ long-term investment of Times Good and Times Good’s net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Reflects the adjustments to record the amortization of Times Good’s intangible assets. Assuming the acquisition is completed on December 31, 2025, amortization expense totaling RMB2,072. Assuming the acquisition is completed on June 30, 2025, amortization expense totaling RMB4,143. According to ASC350-30-35-6, the method of amortization shall reflect the pattern in which the economic benefits of the intangible assets are consumed or otherwise used up. The Company amortized the intangible assets based on the respective cash flow that the consumer relationships will contribute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Reflects adjustments to eliminate RMB766 of non-recurring merger transaction expenses incurred by MAAS and Times Good, assuming the acquisition closes on June 30, 2025. To eliminate RMB749 of non-recurring merger transaction expenses incurred by MAAS and Times Good, assuming the acquisition closes on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Reflects the adjustments to record the reversal of Times Good’s deferred tax liabilities in the amount of RMB311, attributable to the amortization of identifiable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Reflects the adjustments to record the tax benefit of RMB423 for Times Good, which relates to the adjustments made to incremental amortization and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Reflects the adjustments to record the amortization of Carve Group’s intangible assets. The acquisition is completed on August 31, 2025, amortization expense totaling RMB2,166. According to ASC350-30-35-6, the method of amortization shall reflect the pattern in which the economic benefits of the intangible assets are consumed or otherwise used up. The Company amortized the intangible assets based on the respective cash flow that the consumer relationships will contribute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Reflects the adjustments to record the reversal of Carve Group’s deferred tax liabilities in the amount of RMB542, attributable to the amortization of identifiable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Reflects the adjustments to record the tax benefit of RMB542 for Carve Group, which relates to the adjustments made to incremental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Reflects the adjustments to record the amortization of Real Prospect’s intangible assets. The acquisition is completed on October 31, 2025, amortization expense totaling RMB483. According to ASC350-30-35-6, the method of amortization shall reflect the pattern in which the economic benefits of the intangible assets are consumed or otherwise used up. The Company amortized the intangible assets based on the respective cash flow that the consumer relationships will contribute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Reflects the adjustments to record the reversal of Real Prospect’s deferred tax liabilities in the amount of RMB24, attributable to the amortization of identifiable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Reflects the adjustments to record the tax benefit of RMB24 for Real Prospect, which relates to the adjustments made to incremental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Reflects the adjustments to record the elimination of RMB551 in transaction expenses related incurred by MAAS and Carve Group for the merger, which will not be recurring after the completion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Reflects the adjustments to record the amortization of Carve Group’s intangible assets. Assuming the acquisition is completed on June 30, 2025, amortization expense totaling RMB12,997. According to ASC350-30-35-6, the method of amortization shall reflect the pattern in which the economic benefits of the intangible assets are consumed or otherwise used up. The Company amortized the intangible assets based on the respective cash flow that the consumer relationships will contribute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Reflects the adjustments to record the reversal of Carve Group’s deferred tax liabilities in the amount of RMB3,249, attributable to the amortization of identifiable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Reflects the adjustments to record the tax benefit of RMB3,387 for Carve Group, which relates to the adjustments made to incremental amortization and transaction costs.</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Reflects the adjustments to record the elimination of RMB551 in transaction expenses related incurred by MAAS and Real Prospect for the merger, which will not be recurring after the completion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Reflects the adjustments to record the amortization of Real Prospect’s intangible assets. Assuming the acquisition is completed on June 30, 2025, amortization expense totaling RMB1,450. According to ASC350-30-35-6, the method of amortization shall reflect the pattern in which the economic benefits of the intangible assets are consumed or otherwise used up. The Company amortized the intangible assets based on the respective cash flow that the consumer relationships will contribute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Reflects the adjustments to record the reversal of Real Prospect’s deferred tax liabilities in the amount of RMB72, attributable to the amortization of identifiable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Reflects the adjustments to record the tax benefit of RMB100 for Real Prospect, which relates to the adjustments made to incremental amortization and transaction costs.</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Reflects the adjustments to record the reversal of Times Good’s deferred tax liabilities in the amount of RMB621, attributable to the amortization of identifiable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Reflects the adjustments to record the tax benefit of RMB736 for Times Good, which relates to the adjustments made to incremental amortization and transaction costs.</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Historical Puyi Group in the unaudited pro forma condensed consolidated financial statements represents the historical financial results directly attributable to the Puyi Group in accordance with Subtopic ASC 205-20. It removes assets, liabilities and operating results pertaining to the Puyi Group that were transferred in connection with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Reflects the adjustment of revenues and expenses provided by the MAAS Group to the Puyi Group that were historically recorded as intercompany transactions and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Historical AIFU Group in the unaudited pro forma condensed consolidated financial statements represents the historical financial results directly attributable to the AIFU Group in accordance with Subtopic ASC 205-20. It removes assets, liabilities and operating results pertaining to the AIFU Group that were derecognized upon deconsolidation.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Reflects (i) the reclassification of revenues and expenses arising from transactions between the MAAS Group and the AIFU Group that were historically eliminated in consolidation, and (ii) the elimination of amortization expense related to identifiable intangible assets and impairment losses recognized in connection with the MAAS Group’s historical acquisition of AIFU. Following the deconsolidation of the AIFU Group, such intercompany transactions are no longer eliminated and are recognized as transactions with third parties. In addition, the related intangible assets and goodwill are no longer included in the MAAS Group’s consolidated financial statements, and the associated amortization and impairment charges, which are nonrecurring in nature, have been removed in the unaudited pro forma condensed consolidated financial statements.</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Reflects the estimated income tax impact of the transaction accounting adjustments relating to the deconsolidation of the AIFU Group, including the income tax impact on the estimated loss on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Reflects the adjustments to record the issuance of 195,894,609 Class A ordinary shares of MAAS as consideration for the acquisition of Carve Group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Reflects the adjustments to record the issuance of 98,002,174 Class A ordinary shares of MAAS as consideration for the acquisition of Real Prospect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0264/000121390024021240/ea0201111-s8_puyiinc.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6591</Words>
  <Characters>36418</Characters>
  <CharactersWithSpaces>45229</CharactersWithSpaces>
  <Paragraphs>5048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