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770"/>
        <w:gridCol w:w="1410"/>
        <w:gridCol w:w="2858"/>
        <w:gridCol w:w="2167"/>
      </w:tblGrid>
      <w:tr>
        <w:trPr/>
        <w:tc>
          <w:tcPr>
            <w:tcW w:w="3770"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50"/>
            </w:tblGrid>
            <w:tr>
              <w:trPr/>
              <w:tc>
                <w:tcPr>
                  <w:tcW w:w="3650" w:type="dxa"/>
                  <w:tcBorders/>
                  <w:vAlign w:val="center"/>
                </w:tcPr>
                <w:p>
                  <w:pPr>
                    <w:pStyle w:val="TableContents"/>
                    <w:bidi w:val="0"/>
                    <w:spacing w:before="0" w:after="283"/>
                    <w:jc w:val="left"/>
                    <w:rPr/>
                  </w:pPr>
                  <w:hyperlink r:id="rId2">
                    <w:r>
                      <w:rPr>
                        <w:rStyle w:val="InternetLink"/>
                      </w:rPr>
                      <w:t>Li Zhifeng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16"/>
              <w:gridCol w:w="1217"/>
              <w:gridCol w:w="1217"/>
            </w:tblGrid>
            <w:tr>
              <w:trPr/>
              <w:tc>
                <w:tcPr>
                  <w:tcW w:w="12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50"/>
            </w:tblGrid>
            <w:tr>
              <w:trPr/>
              <w:tc>
                <w:tcPr>
                  <w:tcW w:w="36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48</w:t>
                  </w:r>
                </w:p>
              </w:tc>
            </w:tr>
            <w:tr>
              <w:trPr/>
              <w:tc>
                <w:tcPr>
                  <w:tcW w:w="36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52 YANGZHOU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16"/>
              <w:gridCol w:w="1217"/>
              <w:gridCol w:w="1217"/>
            </w:tblGrid>
            <w:tr>
              <w:trPr/>
              <w:tc>
                <w:tcPr>
                  <w:tcW w:w="12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QINGDAO</w:t>
                  </w:r>
                </w:p>
              </w:tc>
              <w:tc>
                <w:tcPr>
                  <w:tcW w:w="12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SHANDONG</w:t>
                  </w:r>
                </w:p>
              </w:tc>
              <w:tc>
                <w:tcPr>
                  <w:tcW w:w="12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266600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16"/>
              <w:gridCol w:w="1217"/>
              <w:gridCol w:w="1217"/>
            </w:tblGrid>
            <w:tr>
              <w:trPr/>
              <w:tc>
                <w:tcPr>
                  <w:tcW w:w="12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50"/>
            </w:tblGrid>
            <w:tr>
              <w:trPr/>
              <w:tc>
                <w:tcPr>
                  <w:tcW w:w="36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41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02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Maase Inc.</w:t>
              </w:r>
            </w:hyperlink>
            <w:r>
              <w:rPr/>
              <w:t xml:space="preserve"> [ </w:t>
            </w:r>
            <w:r>
              <w:rPr>
                <w:rFonts w:ascii="Times;serif" w:hAnsi="Times;serif"/>
                <w:color w:val="0000FF"/>
                <w:sz w:val="24"/>
                <w:shd w:fill="FFFFFF" w:val="clear"/>
              </w:rPr>
              <w:t>MAAS</w:t>
            </w:r>
            <w:r>
              <w:rPr/>
              <w:t xml:space="preserve"> ] </w:t>
              <w:br/>
            </w:r>
            <w:r>
              <w:rPr>
                <w:rFonts w:ascii="arial;helvetica;sans-serif" w:hAnsi="arial;helvetica;sans-serif"/>
                <w:sz w:val="20"/>
              </w:rPr>
              <w:t>Foreign Trading Symbol</w:t>
            </w:r>
          </w:p>
        </w:tc>
      </w:tr>
      <w:tr>
        <w:trPr/>
        <w:tc>
          <w:tcPr>
            <w:tcW w:w="37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85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10"/>
              <w:gridCol w:w="959"/>
              <w:gridCol w:w="410"/>
              <w:gridCol w:w="959"/>
            </w:tblGrid>
            <w:tr>
              <w:trPr/>
              <w:tc>
                <w:tcPr>
                  <w:tcW w:w="41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1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1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95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1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738"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2167"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77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1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85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167"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06"/>
              <w:gridCol w:w="1741"/>
            </w:tblGrid>
            <w:tr>
              <w:trPr/>
              <w:tc>
                <w:tcPr>
                  <w:tcW w:w="30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0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0"/>
        <w:gridCol w:w="1223"/>
        <w:gridCol w:w="1130"/>
        <w:gridCol w:w="1322"/>
        <w:gridCol w:w="938"/>
        <w:gridCol w:w="1267"/>
        <w:gridCol w:w="1230"/>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4, 2026, Maase Inc. (the "Company") granted to Mr. Zhifeng Li, the chief technology officer of the Company, 12,500 Restricted Share Units ("RSUs") pursuant to the Company's 2024 share incentive plan (the "Share Incentive Plan") and subject to the terms and conditions of the RSU Award Agreement (the "Award Agreement"). Each of the RSU has the right to receive one Class A ordinary share of the Company ("Class A Ordinary Share") after the vesting date. Subject to terms and conditions of the Share Incentive Plan and the Award Agreement, Mr. Li will continue to serve the Company for a full five years and the RSUs will vest over five years in equal annual instalments of 2,500 shares. Upon vesting of each instalment, and subject to the terms of the Share Incentive Plan and the Award Agreement, the Company will transfer to Mr. Li the corresponding number of Class A Ordinary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Zhifeng 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369" TargetMode="External"/><Relationship Id="rId3" Type="http://schemas.openxmlformats.org/officeDocument/2006/relationships/hyperlink" Target="http://www.sec.gov/cgi-bin/browse-edgar?action=getcompany&amp;CIK=000175026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564</Words>
  <Characters>2987</Characters>
  <CharactersWithSpaces>3492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