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001-38813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Maase Inc.</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48, Zhixin Manufacturing Valley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52 Yangzhou Road, Economic Development Zone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Laixi, Qingdao, Shandong Province,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+86-532-66030885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Completion of Acquisition of Huazhi Group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2026, Maase Inc., an exempted company incorporated in the Cayman Islands (the “Company”) successfully completed its acquisition of Times Good Limited (the “Target Company”), which in turn, controls core assets and operations of Huazhi Future (Chongqing) Technology Co., Ltd. and its subsidiaries (collectively the “Huazhi Group”). Huazhi Group is a leading provider of computing power and algorithm solutions in China.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in the Report on Form 6-K of the Company filed with the Securities and Exchange Commission on January 23, 2026, the Company entered into a transaction agreement (the “Transaction Agreement”) to acquire 100% of the equity interests of the Target Company on January 23, 2026. The Company purchased from the sellers all of the issued and outstanding equity interests of the Target Company, for a total consideration of approximately RMB1.1 billion, consisting of (i) an aggregate 87,400,144 Class A ordinary shares of a par value of US$0.09 each of the Company (the “Consideration Shares”), and (ii) a cash payment of US$26,000,000, which will be paid within 365 days after the closing (the “Closing”) of the transaction contemplated under the Transaction Agreement. Subject to certain customary exceptions, each seller is subject to a lock-up period of sixty (60) months following the Closing.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this issuance and the completion of the transaction, the Company has a total of 442,175,578 issued and outstanding ordinary shares, consisting of 435,508,910 Class A ordinary shares and 6,666,668 Class B ordinary shares. The sellers, which are not related to each other and would not be deemed as a group, collectively hold approximately 19.77% of the total issued and outstanding shares of the Company, representing approximately 7.93% of the total voting power.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completion of the acquisition, the Company issued a press release on March 31, 2026, which is filed as Exhibit 99.1 to this current report on Form 6-K.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31, 2026.</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Maase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Zhou 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Zhou Min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Vice-Chairperson of the Board,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MAAS Completes Strategic Acquisition of Huazhi Future, Establishing Full-Stack AI Self-Controllability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QINGDAO, China, March 31, 2026 – Maase Inc. (NASDAQ: MAAS) (“MAAS” or the “Company”) today announced the successful completion of its acquisition of 100% equity interests in Times Good Limited, which in turn controls the core assets and operations of Huazhi Future (Chongqing) Technology Co., Ltd. and its subsidiaries (collectively, the “Huazhi Group”). The transaction, previously disclosed on January 23, 2026, was consummated on March 30, 2026. The successful completion of this acquisition marks MAAS’s strategic evolution from a “Scenario Operator” to an “AI Industry Player” with full-stack, self-controlled capabilities.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30, 2026, the Company had a total of 442,175,578 ordinary shares outstanding, consisting of 435,508,910 Class A ordinary shares and 6,666,668 Class B ordinary shares. The sellers collectively hold 87,400,144 Class A ordinary shares of the Company, representing approximately 19.77% of the total issued share capital and approximately 7.93% of the total voting power,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Huazhi Group specializes in high-performance computing and artificial intelligence algorithm research and development, spanning computing power resource integration and cutting-edge algorithm development. It has accumulated extensive domain expertise in smart governance (encompassing public security, emergency management, agriculture, forestry, and water resources) and enterprise digital transformation. Post-acquisition, MAAS will vertically integrate underlying computing infrastructure, proprietary algorithms, intelligent hardware, and full-spectrum operational services, creating a closed-loop, full-stack AI technology and operational ecosystem spanning the entire industry value chain.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Min Zhou, the Chief Executive Officer of MAAS, commented, “This acquisition marks a pivotal milestone in MAAS’s strategic evolution. Huazhi Group’s underlying technology stack is highly synergistic and complementary to our existing business landscape. Going forward, we will accelerate the deep integration of our technical architectures and core talent pools, focusing on mission-critical benchmark scenarios including energy dispatch optimization, intelligent commercial networks, and urban comprehensive governance. We remain committed to pushing the boundaries of AI applications and continuously enhancing our industry-leading AI ecosystem matrix.”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2010 and formerly known as Highest Performances Holdings Inc. and Puyi Inc., we have evolved with a vision to become a leading provider of intelligent technology-driven family and enterprise services. Our mission is to enhance the quality of life for families worldwide by leveraging two primary driving forces: technological intelligence and capital investments. We are dedicated to investing in high-quality enterprises with global potential, focusing on areas such as artificial-intelligence services, advanced deep-tech solutions, science-backed health and wellness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MAAS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MAAS’s expectations discussed in the forward-looking statements. These statements are subject to uncertainties and risks including, but not limited to, the following: MAAS’s goals and strategies; MAAS’s future business development; product and service demand and acceptance; changes in technology; economic conditions; reputation and brand; the impact of competition and pricing; government regulations; fluctuations in general economic and business conditions in China and the international markets MAAS serves and assumptions underlying or related to any of the foregoing and other risks contained in reports filed by MAAS with the Securities and Exchange Commission. For these reasons, among others, investors are cautioned not to place undue reliance upon any forward-looking statements in this press release. Additional factors are discussed in MAAS’s filings with the U.S. Securities and Exchange Commission, which are available for review at www.sec.gov. MAAS undertakes no obligation to publicly revise these forward-looking statements to reflect events or circumstances that arise after the date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+86-532-66030885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ir@maaseai.com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Maase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2026-03-31T07:20:02Z</dcterms:created>
  <dcterms:modified xsi:type="dcterms:W3CDTF">2026-03-31T07:20:02Z</dcterms:modified>
</cp:coreProperties>
</file>