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Maase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$0.09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Golden Brighter Limited</w:t>
              <w:br/>
              <w:t>c/o Baron Ren 1202, Tower A, 14 Science Museum Road, Tsimshatsui East</w:t>
              <w:br/>
              <w:t>Kowloon, K3, 999077</w:t>
              <w:br/>
              <w:t>852-9263 0181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Golden Brighter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84,472,001.00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84,472,001.00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84,472,001.00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84,472,001 Class A ordinary shares, par value $0.09 per share, of Maase Inc. (the "Issuer") held by Golden Brighter Limited. Note to Row 13: The percentage calculation is based on 442,175,578 ordinary shares (excluding treasury shares), comprising of 435,508,910 Class A ordinary shares (excluding treasury shares) and 6,666,668 Class B ordinary shares, of the Issuer outstanding as of July 8,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1</w:t>
            </w:r>
          </w:p>
        </w:tc>
        <w:tc>
          <w:tcPr>
            <w:tcW w:w="784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Baron Ren</w:t>
            </w:r>
          </w:p>
        </w:tc>
      </w:tr>
      <w:tr>
        <w:trPr/>
        <w:tc>
          <w:tcPr>
            <w:tcW w:w="2365" w:type="dxa"/>
            <w:tcBorders/>
            <w:vAlign w:val="center"/>
          </w:tcPr>
          <w:p>
            <w:pPr>
              <w:pStyle w:val="TableContents"/>
              <w:bidi w:val="0"/>
              <w:spacing w:before="0" w:after="283"/>
              <w:jc w:val="left"/>
              <w:rPr/>
            </w:pPr>
            <w:r>
              <w:rPr/>
              <w:t>2</w:t>
            </w:r>
          </w:p>
        </w:tc>
        <w:tc>
          <w:tcPr>
            <w:tcW w:w="78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65" w:type="dxa"/>
            <w:tcBorders/>
            <w:vAlign w:val="center"/>
          </w:tcPr>
          <w:p>
            <w:pPr>
              <w:pStyle w:val="TableContents"/>
              <w:bidi w:val="0"/>
              <w:spacing w:before="0" w:after="283"/>
              <w:jc w:val="left"/>
              <w:rPr/>
            </w:pPr>
            <w:r>
              <w:rPr/>
              <w:t>3</w:t>
            </w:r>
          </w:p>
        </w:tc>
        <w:tc>
          <w:tcPr>
            <w:tcW w:w="7840" w:type="dxa"/>
            <w:tcBorders/>
            <w:vAlign w:val="center"/>
          </w:tcPr>
          <w:p>
            <w:pPr>
              <w:pStyle w:val="TableContents"/>
              <w:bidi w:val="0"/>
              <w:spacing w:before="0" w:after="283"/>
              <w:jc w:val="left"/>
              <w:rPr/>
            </w:pPr>
            <w:r>
              <w:rPr/>
              <w:t>SEC use only</w:t>
            </w:r>
          </w:p>
        </w:tc>
      </w:tr>
      <w:tr>
        <w:trPr/>
        <w:tc>
          <w:tcPr>
            <w:tcW w:w="2365" w:type="dxa"/>
            <w:tcBorders/>
            <w:vAlign w:val="center"/>
          </w:tcPr>
          <w:p>
            <w:pPr>
              <w:pStyle w:val="TableContents"/>
              <w:bidi w:val="0"/>
              <w:spacing w:before="0" w:after="283"/>
              <w:jc w:val="left"/>
              <w:rPr/>
            </w:pPr>
            <w:r>
              <w:rPr/>
              <w:t>4</w:t>
            </w:r>
          </w:p>
        </w:tc>
        <w:tc>
          <w:tcPr>
            <w:tcW w:w="784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65" w:type="dxa"/>
            <w:tcBorders/>
            <w:vAlign w:val="center"/>
          </w:tcPr>
          <w:p>
            <w:pPr>
              <w:pStyle w:val="TableContents"/>
              <w:bidi w:val="0"/>
              <w:spacing w:before="0" w:after="283"/>
              <w:jc w:val="left"/>
              <w:rPr/>
            </w:pPr>
            <w:r>
              <w:rPr/>
              <w:t>5</w:t>
            </w:r>
          </w:p>
        </w:tc>
        <w:tc>
          <w:tcPr>
            <w:tcW w:w="784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6</w:t>
            </w:r>
          </w:p>
        </w:tc>
        <w:tc>
          <w:tcPr>
            <w:tcW w:w="78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36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84,472,001.00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84,472,001.00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0"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t>11</w:t>
            </w:r>
          </w:p>
        </w:tc>
        <w:tc>
          <w:tcPr>
            <w:tcW w:w="78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84,472,001.00</w:t>
            </w:r>
          </w:p>
        </w:tc>
      </w:tr>
      <w:tr>
        <w:trPr/>
        <w:tc>
          <w:tcPr>
            <w:tcW w:w="2365" w:type="dxa"/>
            <w:tcBorders/>
            <w:vAlign w:val="center"/>
          </w:tcPr>
          <w:p>
            <w:pPr>
              <w:pStyle w:val="TableContents"/>
              <w:bidi w:val="0"/>
              <w:spacing w:before="0" w:after="283"/>
              <w:jc w:val="left"/>
              <w:rPr/>
            </w:pPr>
            <w:r>
              <w:rPr/>
              <w:t>12</w:t>
            </w:r>
          </w:p>
        </w:tc>
        <w:tc>
          <w:tcPr>
            <w:tcW w:w="784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13</w:t>
            </w:r>
          </w:p>
        </w:tc>
        <w:tc>
          <w:tcPr>
            <w:tcW w:w="784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19.10 % </w:t>
            </w:r>
          </w:p>
        </w:tc>
      </w:tr>
      <w:tr>
        <w:trPr/>
        <w:tc>
          <w:tcPr>
            <w:tcW w:w="2365" w:type="dxa"/>
            <w:tcBorders/>
            <w:vAlign w:val="center"/>
          </w:tcPr>
          <w:p>
            <w:pPr>
              <w:pStyle w:val="TableContents"/>
              <w:bidi w:val="0"/>
              <w:spacing w:before="0" w:after="283"/>
              <w:jc w:val="left"/>
              <w:rPr/>
            </w:pPr>
            <w:r>
              <w:rPr/>
              <w:t>14</w:t>
            </w:r>
          </w:p>
        </w:tc>
        <w:tc>
          <w:tcPr>
            <w:tcW w:w="78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84,472,001 Class A ordinary shares, par value $0.09 per share, of Maase Inc. (the "Issuer") held by Golden Brighter Limited. Golden Brighter Limited is wholly owned by Baron Ren. Note to Row 13: The percentage calculation is based on 442,175,578 ordinary shares (excluding treasury shares), comprising of 435,508,910 Class A ordinary shares (excluding treasury shares) and 6,666,668 Class B ordinary shares, of the Issuer outstanding as of July 8,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$0.09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Maase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48, Zhixin Manufacturing Valley, No. 52 Yangzhou Rd, Economic Dev., Zone, Laixi, Qingdao, Shandong, CHINA , 266000.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(this "Amendment No. 3") amends and supplements the prior statement on Schedule 13D as filed on September 5, 2025 (the "Original 13D"), Amendment No. 1 to Schedule 13D filed on October 30, 2025, and Amendment No. 2 to Schedule 13D filed on January 16, 2026 (the Original 13D as amended and supplemented, this "Schedule 13D"), and relates to the beneficial ownership of Class A ordinary shares, par value $0.09 per share (the "Class A Ordinary Shares") of Maase Inc., a Cayman Islands exempted company (the "Issuer") whose principal executive office is located at Building 48, Zhixin Manufacturing Valley Industrial Park, No. 52 Yangzhou Road, Economic Development Zone, Laixi, Qingdao, Shandong, F4, 266000.</w:t>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Item 5(a) of this Schedule 13D is hereby amended and supplemented to add the following: The aggregate number of ordinary shares beneficially owned by the Reporting Persons is 84,472,001 Class A Ordinary Shares directly held by Golden Brighter Limited which is 100% owned by Baron Ren. Pursuant to Section 13(d) of the Exchange Act and the rules promulgated thereunder, Mr. Ren may be deemed to beneficially own all of the Ordinary Shares of the Issuer held by Golden Brighter Limited. The Reporting Persons' aggregate percentage of beneficial ownership is 19.10%, representing 7.66% of the voting power of the Issuer. Percentage of beneficial ownership of Reporting Persons is based on 442,175,578 ordinary shares (excluding treasury shares), comprising of 435,508,910 Class A Ordinary Shares (excluding treasury shares) and 6,666,668 Class B ordinary shares, par value $0.09 per share (the "Class B Ordinary Shares") of the Issuer outstanding as of July 8, 2026 according to records of the Issuer. Each Class A Ordinary Share is entitled to one (1) vote while each Class B Ordinary Share is entitled to one hundred (100) votes on any and all matters submitted for a vote. The change in the Reporting Persons' beneficial ownership reflects (i) the disposals by the Reporting Persons of 380,000 Class A Ordinary Shares on January 15, 2026 and 8,197,938 Class A Ordinary Shares on July8, 2026, in each case, in a privately negotiated transaction, and (ii) the Issuer's issuance of additional Class A Ordinary Shares in connection with separate transactions to which neither of the Reporting Persons was a party.</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Each of the Reporting Person has sole voting and dispositive power over the ordinary shares of reported in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Item 5(c) of this Schedule 13D is hereby amended and supplemented to add the following: On January 15, 2026, Golden Brighter Limited disposed of 380,000 Class A Ordinary Shares of the Issuer in a privately negotiated transaction for a consideration of US$570,000. On July 8, 2026, Golden Brighter Limited disposed of 8,197,938 Class A Ordinary Shares of the Issuer in a privately negotiated transaction for a total consideration of US$12,296,907.</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To the best knowledge of the Reporting Persons, except for the agreement described in this Schedule 13D, no one other than the Reporting Persons, or the holders of interests in the Reporting Persons, has the right to receive or the power to direct the receipt of dividends from, or the proceeds from the sale of, the ordinary shares of the Issuer that they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Golden Brighter Limited</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Baron Ren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Baron Ren/Director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Baron Ren</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Baron Ren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Baron Ren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1274</Words>
  <Characters>6624</Characters>
  <CharactersWithSpaces>7830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